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DD8" w:rsidRPr="00C76627" w:rsidRDefault="009E4DD8" w:rsidP="009E4DD8">
      <w:pPr>
        <w:shd w:val="clear" w:color="auto" w:fill="FFFFFF"/>
        <w:spacing w:after="0" w:line="240" w:lineRule="auto"/>
        <w:jc w:val="right"/>
        <w:rPr>
          <w:rFonts w:ascii="Times New Roman" w:eastAsia="ヒラギノ角ゴ Pro W3" w:hAnsi="Times New Roman" w:cs="Times New Roman"/>
          <w:color w:val="000000"/>
          <w:sz w:val="24"/>
          <w:szCs w:val="24"/>
          <w:bdr w:val="none" w:sz="0" w:space="0" w:color="auto" w:frame="1"/>
          <w:lang w:eastAsia="lv-LV"/>
        </w:rPr>
      </w:pPr>
      <w:bookmarkStart w:id="0" w:name="_GoBack"/>
      <w:bookmarkEnd w:id="0"/>
      <w:r w:rsidRPr="00C76627">
        <w:rPr>
          <w:rFonts w:ascii="Times New Roman" w:eastAsia="ヒラギノ角ゴ Pro W3" w:hAnsi="Times New Roman" w:cs="Times New Roman"/>
          <w:color w:val="000000"/>
          <w:sz w:val="24"/>
          <w:szCs w:val="24"/>
          <w:bdr w:val="none" w:sz="0" w:space="0" w:color="auto" w:frame="1"/>
          <w:lang w:eastAsia="lv-LV"/>
        </w:rPr>
        <w:t>“Latvijas Viedās specializācijas stratēģijas izaugsmes prioritātes un to skaidrojumi”</w:t>
      </w:r>
    </w:p>
    <w:p w:rsidR="009E4DD8" w:rsidRDefault="009E4DD8"/>
    <w:tbl>
      <w:tblPr>
        <w:tblStyle w:val="TableGrid"/>
        <w:tblW w:w="0" w:type="auto"/>
        <w:tblInd w:w="709" w:type="dxa"/>
        <w:tblLook w:val="04A0" w:firstRow="1" w:lastRow="0" w:firstColumn="1" w:lastColumn="0" w:noHBand="0" w:noVBand="1"/>
      </w:tblPr>
      <w:tblGrid>
        <w:gridCol w:w="3898"/>
        <w:gridCol w:w="9341"/>
      </w:tblGrid>
      <w:tr w:rsidR="009E4DD8" w:rsidRPr="009E4DD8" w:rsidTr="008A5D17">
        <w:tc>
          <w:tcPr>
            <w:tcW w:w="3898" w:type="dxa"/>
          </w:tcPr>
          <w:p w:rsidR="009E4DD8" w:rsidRPr="009E4DD8" w:rsidRDefault="009E4DD8" w:rsidP="009E4DD8">
            <w:pPr>
              <w:spacing w:after="160" w:line="259" w:lineRule="auto"/>
              <w:jc w:val="both"/>
              <w:rPr>
                <w:rFonts w:ascii="Times New Roman" w:hAnsi="Times New Roman" w:cs="Times New Roman"/>
                <w:b/>
              </w:rPr>
            </w:pPr>
            <w:r w:rsidRPr="009E4DD8">
              <w:rPr>
                <w:rFonts w:ascii="Times New Roman" w:hAnsi="Times New Roman" w:cs="Times New Roman"/>
                <w:b/>
              </w:rPr>
              <w:t>RIS3 izaugsmes prioritāte</w:t>
            </w:r>
          </w:p>
        </w:tc>
        <w:tc>
          <w:tcPr>
            <w:tcW w:w="9341" w:type="dxa"/>
          </w:tcPr>
          <w:p w:rsidR="009E4DD8" w:rsidRPr="009E4DD8" w:rsidRDefault="009E4DD8" w:rsidP="009E4DD8">
            <w:pPr>
              <w:spacing w:after="160" w:line="259" w:lineRule="auto"/>
              <w:jc w:val="both"/>
              <w:rPr>
                <w:rFonts w:ascii="Times New Roman" w:hAnsi="Times New Roman" w:cs="Times New Roman"/>
                <w:b/>
              </w:rPr>
            </w:pPr>
            <w:r w:rsidRPr="009E4DD8">
              <w:rPr>
                <w:rFonts w:ascii="Times New Roman" w:hAnsi="Times New Roman" w:cs="Times New Roman"/>
                <w:b/>
              </w:rPr>
              <w:t>Prioritāti paskaidrojošā problēma un piedāvātais risinājums</w:t>
            </w:r>
          </w:p>
        </w:tc>
      </w:tr>
      <w:tr w:rsidR="009E4DD8" w:rsidRPr="009E4DD8" w:rsidTr="008A5D17">
        <w:trPr>
          <w:trHeight w:val="3160"/>
        </w:trPr>
        <w:tc>
          <w:tcPr>
            <w:tcW w:w="3898" w:type="dxa"/>
          </w:tcPr>
          <w:p w:rsidR="009E4DD8" w:rsidRPr="009E4DD8" w:rsidRDefault="009E4DD8" w:rsidP="009E4DD8">
            <w:pPr>
              <w:spacing w:after="160" w:line="259" w:lineRule="auto"/>
              <w:jc w:val="both"/>
              <w:rPr>
                <w:rFonts w:ascii="Times New Roman" w:hAnsi="Times New Roman" w:cs="Times New Roman"/>
                <w:b/>
              </w:rPr>
            </w:pPr>
            <w:r w:rsidRPr="009E4DD8">
              <w:rPr>
                <w:rFonts w:ascii="Times New Roman" w:hAnsi="Times New Roman" w:cs="Times New Roman"/>
                <w:b/>
                <w:i/>
                <w:u w:val="single"/>
              </w:rPr>
              <w:t>1.prioritāte:</w:t>
            </w:r>
            <w:r w:rsidRPr="009E4DD8">
              <w:rPr>
                <w:rFonts w:ascii="Times New Roman" w:hAnsi="Times New Roman" w:cs="Times New Roman"/>
                <w:b/>
              </w:rPr>
              <w:t xml:space="preserve"> </w:t>
            </w:r>
          </w:p>
          <w:p w:rsidR="009E4DD8" w:rsidRPr="009E4DD8" w:rsidRDefault="009E4DD8" w:rsidP="009E4DD8">
            <w:pPr>
              <w:spacing w:after="160" w:line="259" w:lineRule="auto"/>
              <w:jc w:val="both"/>
              <w:rPr>
                <w:rFonts w:ascii="Times New Roman" w:hAnsi="Times New Roman" w:cs="Times New Roman"/>
              </w:rPr>
            </w:pPr>
            <w:r w:rsidRPr="009E4DD8">
              <w:rPr>
                <w:rFonts w:ascii="Times New Roman" w:hAnsi="Times New Roman" w:cs="Times New Roman"/>
              </w:rPr>
              <w:t>Efektīvāka pirmapstrādes produktu izmantošana augstākas pievienotās vērtības produktu ražošanai, jaunu materiālu un tehnoloģiju radīšana un pielietošanas dažādošana. Netehnoloģisko inovāciju, Latvijas radošās industrijas potenciāla plašāka izmantošana tautsaimniecības nozaru augstākas pievienotās vērtības produktu un pakalpojumu ražošanai.</w:t>
            </w:r>
          </w:p>
        </w:tc>
        <w:tc>
          <w:tcPr>
            <w:tcW w:w="9341" w:type="dxa"/>
          </w:tcPr>
          <w:p w:rsidR="009E4DD8" w:rsidRPr="009E4DD8" w:rsidRDefault="009E4DD8" w:rsidP="009E4DD8">
            <w:pPr>
              <w:spacing w:after="160" w:line="259" w:lineRule="auto"/>
              <w:jc w:val="both"/>
              <w:rPr>
                <w:rFonts w:ascii="Times New Roman" w:hAnsi="Times New Roman" w:cs="Times New Roman"/>
              </w:rPr>
            </w:pPr>
            <w:r w:rsidRPr="009E4DD8">
              <w:rPr>
                <w:rFonts w:ascii="Times New Roman" w:hAnsi="Times New Roman" w:cs="Times New Roman"/>
              </w:rPr>
              <w:t>Pašreizējās Latvijas tautsaimniecības struktūras pamatā ir tradicionālās nozares, kuru konkurētspēja ir balstīta uz dabisko priekšrocību izmantošanu – lēto darbaspēku un pieejamajiem dabas resursiem. Lai arī vidējā termiņā tradicionālajām tautsaimniecības nozarēm būs liels devums kopējā tautsaimniecības izaugsmē un darba vietu radīšanā, jāņem vērā, ka gan lētais darbaspēks, gan resursu pieejamība nerada stimulus uzņēmējdarbības modeļa maiņai un citu salīdzinošo priekšrocību radīšanai. Līdz ar to, lai sekmētu tautsaimniecības transformāciju, ir nepieciešams veicināt strukturālās izmaiņas par labu preču un pakalpojumu ar augstāku pievienoto vērtību ražošanai. Piemēram, viens no pievienotās vērtības kāpinātājiem ir inovācijas, kuru plašai attīstībai un pielietošanas veicināšanai ir nozīmīga loma. Būtiska attīstības iespēja ir viedo un elastīgo tehnoloģiju un pieeju izmantošana ražošanā, enerģētikā, veselības aprūpē, sabiedrības vadībā u.c.</w:t>
            </w:r>
          </w:p>
          <w:p w:rsidR="009E4DD8" w:rsidRPr="009E4DD8" w:rsidRDefault="009E4DD8" w:rsidP="009E4DD8">
            <w:pPr>
              <w:spacing w:after="160" w:line="259" w:lineRule="auto"/>
              <w:jc w:val="both"/>
              <w:rPr>
                <w:rFonts w:ascii="Times New Roman" w:hAnsi="Times New Roman" w:cs="Times New Roman"/>
              </w:rPr>
            </w:pPr>
          </w:p>
          <w:p w:rsidR="009E4DD8" w:rsidRPr="009E4DD8" w:rsidRDefault="009E4DD8" w:rsidP="009E4DD8">
            <w:pPr>
              <w:spacing w:after="160" w:line="259" w:lineRule="auto"/>
              <w:jc w:val="both"/>
              <w:rPr>
                <w:rFonts w:ascii="Times New Roman" w:hAnsi="Times New Roman" w:cs="Times New Roman"/>
                <w:i/>
              </w:rPr>
            </w:pPr>
            <w:r w:rsidRPr="009E4DD8">
              <w:rPr>
                <w:rFonts w:ascii="Times New Roman" w:hAnsi="Times New Roman" w:cs="Times New Roman"/>
                <w:i/>
              </w:rPr>
              <w:t xml:space="preserve">Šai prioritātei atbilst specializācijas jomas „Zināšanu-ietilpīga </w:t>
            </w:r>
            <w:proofErr w:type="spellStart"/>
            <w:r w:rsidRPr="009E4DD8">
              <w:rPr>
                <w:rFonts w:ascii="Times New Roman" w:hAnsi="Times New Roman" w:cs="Times New Roman"/>
                <w:i/>
              </w:rPr>
              <w:t>bioekonomika</w:t>
            </w:r>
            <w:proofErr w:type="spellEnd"/>
            <w:r w:rsidRPr="009E4DD8">
              <w:rPr>
                <w:rFonts w:ascii="Times New Roman" w:hAnsi="Times New Roman" w:cs="Times New Roman"/>
                <w:i/>
              </w:rPr>
              <w:t xml:space="preserve">”, „Zināšanu-ietilpīga veselība, t.sk. </w:t>
            </w:r>
            <w:proofErr w:type="spellStart"/>
            <w:r w:rsidRPr="009E4DD8">
              <w:rPr>
                <w:rFonts w:ascii="Times New Roman" w:hAnsi="Times New Roman" w:cs="Times New Roman"/>
                <w:i/>
              </w:rPr>
              <w:t>biomedicīna</w:t>
            </w:r>
            <w:proofErr w:type="spellEnd"/>
            <w:r w:rsidRPr="009E4DD8">
              <w:rPr>
                <w:rFonts w:ascii="Times New Roman" w:hAnsi="Times New Roman" w:cs="Times New Roman"/>
                <w:i/>
              </w:rPr>
              <w:t xml:space="preserve">, medicīnas tehnoloģijas, </w:t>
            </w:r>
            <w:proofErr w:type="spellStart"/>
            <w:r w:rsidRPr="009E4DD8">
              <w:rPr>
                <w:rFonts w:ascii="Times New Roman" w:hAnsi="Times New Roman" w:cs="Times New Roman"/>
                <w:i/>
              </w:rPr>
              <w:t>biofarmācija</w:t>
            </w:r>
            <w:proofErr w:type="spellEnd"/>
            <w:r w:rsidRPr="009E4DD8">
              <w:rPr>
                <w:rFonts w:ascii="Times New Roman" w:hAnsi="Times New Roman" w:cs="Times New Roman"/>
                <w:i/>
              </w:rPr>
              <w:t xml:space="preserve"> un biotehnoloģijas”, „Viedie materiāli,  tehnoloģijas un </w:t>
            </w:r>
            <w:proofErr w:type="spellStart"/>
            <w:r w:rsidRPr="009E4DD8">
              <w:rPr>
                <w:rFonts w:ascii="Times New Roman" w:hAnsi="Times New Roman" w:cs="Times New Roman"/>
                <w:i/>
              </w:rPr>
              <w:t>inženiersistēmas</w:t>
            </w:r>
            <w:proofErr w:type="spellEnd"/>
            <w:r w:rsidRPr="009E4DD8">
              <w:rPr>
                <w:rFonts w:ascii="Times New Roman" w:hAnsi="Times New Roman" w:cs="Times New Roman"/>
                <w:i/>
              </w:rPr>
              <w:t>” un „Informācijas un komunikāciju tehnoloģijas”.</w:t>
            </w:r>
          </w:p>
        </w:tc>
      </w:tr>
      <w:tr w:rsidR="009E4DD8" w:rsidRPr="009E4DD8" w:rsidTr="008A5D17">
        <w:trPr>
          <w:trHeight w:val="2393"/>
        </w:trPr>
        <w:tc>
          <w:tcPr>
            <w:tcW w:w="3898" w:type="dxa"/>
          </w:tcPr>
          <w:p w:rsidR="009E4DD8" w:rsidRPr="009E4DD8" w:rsidRDefault="009E4DD8" w:rsidP="009E4DD8">
            <w:pPr>
              <w:spacing w:after="160" w:line="259" w:lineRule="auto"/>
              <w:jc w:val="both"/>
              <w:rPr>
                <w:rFonts w:ascii="Times New Roman" w:hAnsi="Times New Roman" w:cs="Times New Roman"/>
                <w:b/>
              </w:rPr>
            </w:pPr>
            <w:r w:rsidRPr="009E4DD8">
              <w:rPr>
                <w:rFonts w:ascii="Times New Roman" w:hAnsi="Times New Roman" w:cs="Times New Roman"/>
                <w:b/>
                <w:i/>
                <w:u w:val="single"/>
              </w:rPr>
              <w:t>2.prioritāte:</w:t>
            </w:r>
            <w:r w:rsidRPr="009E4DD8">
              <w:rPr>
                <w:rFonts w:ascii="Times New Roman" w:hAnsi="Times New Roman" w:cs="Times New Roman"/>
                <w:b/>
              </w:rPr>
              <w:t xml:space="preserve"> </w:t>
            </w:r>
          </w:p>
          <w:p w:rsidR="009E4DD8" w:rsidRPr="009E4DD8" w:rsidRDefault="009E4DD8" w:rsidP="009E4DD8">
            <w:pPr>
              <w:spacing w:after="160" w:line="259" w:lineRule="auto"/>
              <w:jc w:val="both"/>
              <w:rPr>
                <w:rFonts w:ascii="Times New Roman" w:hAnsi="Times New Roman" w:cs="Times New Roman"/>
              </w:rPr>
            </w:pPr>
            <w:r w:rsidRPr="009E4DD8">
              <w:rPr>
                <w:rFonts w:ascii="Times New Roman" w:hAnsi="Times New Roman" w:cs="Times New Roman"/>
              </w:rPr>
              <w:t>Jaunu produktu un/ vai pakalpojumu pastāvīga meklēšana, kuras ietvaros ir nepieciešams radīt efektīvu identifikācijas sistēmu, kas spēj atrast un sniegt atbalstu jaunu produktu radīšanai esošo nozaru un starpnozaru ietvaros, kā arī veidot jaunas nozares ar augstu izaugsmes potenciālu.</w:t>
            </w:r>
          </w:p>
        </w:tc>
        <w:tc>
          <w:tcPr>
            <w:tcW w:w="9341" w:type="dxa"/>
          </w:tcPr>
          <w:p w:rsidR="009E4DD8" w:rsidRPr="009E4DD8" w:rsidRDefault="009E4DD8" w:rsidP="009E4DD8">
            <w:pPr>
              <w:spacing w:after="160" w:line="259" w:lineRule="auto"/>
              <w:jc w:val="both"/>
              <w:rPr>
                <w:rFonts w:ascii="Times New Roman" w:hAnsi="Times New Roman" w:cs="Times New Roman"/>
              </w:rPr>
            </w:pPr>
            <w:r w:rsidRPr="009E4DD8">
              <w:rPr>
                <w:rFonts w:ascii="Times New Roman" w:hAnsi="Times New Roman" w:cs="Times New Roman"/>
              </w:rPr>
              <w:t>Latvijas tautsaimniecības ilgtspējīgai attīstībai ir nepieciešams diversificēt apstrādes rūpniecību un eksportspējīgās pakalpojumu nozares, panākot straujāku vidēji augsto un augsto tehnoloģiju nozaru, kā arī uz zināšanām balstīto nozaru attīstību. Šajā virzienā ietilpst, piemēram, tādas augstas pievienotās vērtības vai nozares kā farmācija, biotehnoloģijas, elektronika, aparātbūve, kā arī veselības tūrisms un strauji augošas (</w:t>
            </w:r>
            <w:proofErr w:type="spellStart"/>
            <w:r w:rsidRPr="009E4DD8">
              <w:rPr>
                <w:rFonts w:ascii="Times New Roman" w:hAnsi="Times New Roman" w:cs="Times New Roman"/>
                <w:i/>
                <w:iCs/>
              </w:rPr>
              <w:t>emerging</w:t>
            </w:r>
            <w:proofErr w:type="spellEnd"/>
            <w:r w:rsidRPr="009E4DD8">
              <w:rPr>
                <w:rFonts w:ascii="Times New Roman" w:hAnsi="Times New Roman" w:cs="Times New Roman"/>
              </w:rPr>
              <w:t>)  zināšanu jomas šajās un citās nozarēs.</w:t>
            </w:r>
          </w:p>
          <w:p w:rsidR="009E4DD8" w:rsidRPr="009E4DD8" w:rsidRDefault="009E4DD8" w:rsidP="009E4DD8">
            <w:pPr>
              <w:spacing w:after="160" w:line="259" w:lineRule="auto"/>
              <w:jc w:val="both"/>
              <w:rPr>
                <w:rFonts w:ascii="Times New Roman" w:hAnsi="Times New Roman" w:cs="Times New Roman"/>
              </w:rPr>
            </w:pPr>
          </w:p>
          <w:p w:rsidR="009E4DD8" w:rsidRPr="009E4DD8" w:rsidRDefault="009E4DD8" w:rsidP="009E4DD8">
            <w:pPr>
              <w:spacing w:after="160" w:line="259" w:lineRule="auto"/>
              <w:jc w:val="both"/>
              <w:rPr>
                <w:rFonts w:ascii="Times New Roman" w:hAnsi="Times New Roman" w:cs="Times New Roman"/>
                <w:i/>
              </w:rPr>
            </w:pPr>
            <w:r w:rsidRPr="009E4DD8">
              <w:rPr>
                <w:rFonts w:ascii="Times New Roman" w:hAnsi="Times New Roman" w:cs="Times New Roman"/>
                <w:i/>
              </w:rPr>
              <w:t xml:space="preserve">Šai prioritātei atbilst specializācijas joma „Viedie materiāli, tehnoloģijas un </w:t>
            </w:r>
            <w:proofErr w:type="spellStart"/>
            <w:r w:rsidRPr="009E4DD8">
              <w:rPr>
                <w:rFonts w:ascii="Times New Roman" w:hAnsi="Times New Roman" w:cs="Times New Roman"/>
                <w:i/>
              </w:rPr>
              <w:t>inženiersistēmas</w:t>
            </w:r>
            <w:proofErr w:type="spellEnd"/>
            <w:r w:rsidRPr="009E4DD8">
              <w:rPr>
                <w:rFonts w:ascii="Times New Roman" w:hAnsi="Times New Roman" w:cs="Times New Roman"/>
                <w:i/>
              </w:rPr>
              <w:t>”, „Zināšanu-ietilpīga veselība” un „Informācijas un komunikāciju tehnoloģijas”.</w:t>
            </w:r>
          </w:p>
        </w:tc>
      </w:tr>
      <w:tr w:rsidR="009E4DD8" w:rsidRPr="009E4DD8" w:rsidTr="008A5D17">
        <w:tc>
          <w:tcPr>
            <w:tcW w:w="3898" w:type="dxa"/>
          </w:tcPr>
          <w:p w:rsidR="009E4DD8" w:rsidRPr="009E4DD8" w:rsidRDefault="009E4DD8" w:rsidP="009E4DD8">
            <w:pPr>
              <w:spacing w:after="160" w:line="259" w:lineRule="auto"/>
              <w:jc w:val="both"/>
              <w:rPr>
                <w:rFonts w:ascii="Times New Roman" w:hAnsi="Times New Roman" w:cs="Times New Roman"/>
                <w:b/>
              </w:rPr>
            </w:pPr>
            <w:r w:rsidRPr="009E4DD8">
              <w:rPr>
                <w:rFonts w:ascii="Times New Roman" w:hAnsi="Times New Roman" w:cs="Times New Roman"/>
                <w:b/>
                <w:i/>
                <w:u w:val="single"/>
              </w:rPr>
              <w:lastRenderedPageBreak/>
              <w:t>2.prioritāte:</w:t>
            </w:r>
            <w:r w:rsidRPr="009E4DD8">
              <w:rPr>
                <w:rFonts w:ascii="Times New Roman" w:hAnsi="Times New Roman" w:cs="Times New Roman"/>
                <w:b/>
              </w:rPr>
              <w:t xml:space="preserve"> </w:t>
            </w:r>
          </w:p>
          <w:p w:rsidR="009E4DD8" w:rsidRPr="009E4DD8" w:rsidRDefault="009E4DD8" w:rsidP="009E4DD8">
            <w:pPr>
              <w:spacing w:after="160" w:line="259" w:lineRule="auto"/>
              <w:jc w:val="both"/>
              <w:rPr>
                <w:rFonts w:ascii="Times New Roman" w:hAnsi="Times New Roman" w:cs="Times New Roman"/>
              </w:rPr>
            </w:pPr>
            <w:r w:rsidRPr="009E4DD8">
              <w:rPr>
                <w:rFonts w:ascii="Times New Roman" w:hAnsi="Times New Roman" w:cs="Times New Roman"/>
              </w:rPr>
              <w:t>Jaunu produktu un/ vai pakalpojumu pastāvīga meklēšana, kuras ietvaros ir nepieciešams radīt efektīvu identifikācijas sistēmu, kas spēj atrast un sniegt atbalstu jaunu produktu radīšanai esošo nozaru un starpnozaru ietvaros, kā arī veidot jaunas nozares ar augstu izaugsmes potenciālu.</w:t>
            </w:r>
          </w:p>
        </w:tc>
        <w:tc>
          <w:tcPr>
            <w:tcW w:w="9341" w:type="dxa"/>
          </w:tcPr>
          <w:p w:rsidR="009E4DD8" w:rsidRPr="009E4DD8" w:rsidRDefault="009E4DD8" w:rsidP="009E4DD8">
            <w:pPr>
              <w:spacing w:after="160" w:line="259" w:lineRule="auto"/>
              <w:jc w:val="both"/>
              <w:rPr>
                <w:rFonts w:ascii="Times New Roman" w:hAnsi="Times New Roman" w:cs="Times New Roman"/>
              </w:rPr>
            </w:pPr>
            <w:r w:rsidRPr="009E4DD8">
              <w:rPr>
                <w:rFonts w:ascii="Times New Roman" w:hAnsi="Times New Roman" w:cs="Times New Roman"/>
              </w:rPr>
              <w:t>Latvijas tautsaimniecības ilgtspējīgai attīstībai ir nepieciešams diversificēt apstrādes rūpniecību un eksportspējīgās pakalpojumu nozares, panākot straujāku vidēji augsto un augsto tehnoloģiju nozaru, kā arī uz zināšanām balstīto nozaru attīstību. Šajā virzienā ietilpst, piemēram, tādas augstas pievienotās vērtības vai nozares kā farmācija, biotehnoloģijas, elektronika, aparātbūve, kā arī veselības tūrisms un strauji augošas (</w:t>
            </w:r>
            <w:proofErr w:type="spellStart"/>
            <w:r w:rsidRPr="009E4DD8">
              <w:rPr>
                <w:rFonts w:ascii="Times New Roman" w:hAnsi="Times New Roman" w:cs="Times New Roman"/>
                <w:i/>
                <w:iCs/>
              </w:rPr>
              <w:t>emerging</w:t>
            </w:r>
            <w:proofErr w:type="spellEnd"/>
            <w:r w:rsidRPr="009E4DD8">
              <w:rPr>
                <w:rFonts w:ascii="Times New Roman" w:hAnsi="Times New Roman" w:cs="Times New Roman"/>
              </w:rPr>
              <w:t>)  zināšanu jomas šajās un citās nozarēs.</w:t>
            </w:r>
          </w:p>
          <w:p w:rsidR="009E4DD8" w:rsidRPr="009E4DD8" w:rsidRDefault="009E4DD8" w:rsidP="009E4DD8">
            <w:pPr>
              <w:spacing w:after="160" w:line="259" w:lineRule="auto"/>
              <w:jc w:val="both"/>
              <w:rPr>
                <w:rFonts w:ascii="Times New Roman" w:hAnsi="Times New Roman" w:cs="Times New Roman"/>
              </w:rPr>
            </w:pPr>
          </w:p>
          <w:p w:rsidR="009E4DD8" w:rsidRPr="009E4DD8" w:rsidRDefault="009E4DD8" w:rsidP="009E4DD8">
            <w:pPr>
              <w:spacing w:after="160" w:line="259" w:lineRule="auto"/>
              <w:jc w:val="both"/>
              <w:rPr>
                <w:rFonts w:ascii="Times New Roman" w:hAnsi="Times New Roman" w:cs="Times New Roman"/>
                <w:i/>
              </w:rPr>
            </w:pPr>
            <w:r w:rsidRPr="009E4DD8">
              <w:rPr>
                <w:rFonts w:ascii="Times New Roman" w:hAnsi="Times New Roman" w:cs="Times New Roman"/>
                <w:i/>
              </w:rPr>
              <w:t xml:space="preserve">Šai prioritātei atbilst specializācijas joma „Viedie materiāli, tehnoloģijas un </w:t>
            </w:r>
            <w:proofErr w:type="spellStart"/>
            <w:r w:rsidRPr="009E4DD8">
              <w:rPr>
                <w:rFonts w:ascii="Times New Roman" w:hAnsi="Times New Roman" w:cs="Times New Roman"/>
                <w:i/>
              </w:rPr>
              <w:t>inženiersistēmas</w:t>
            </w:r>
            <w:proofErr w:type="spellEnd"/>
            <w:r w:rsidRPr="009E4DD8">
              <w:rPr>
                <w:rFonts w:ascii="Times New Roman" w:hAnsi="Times New Roman" w:cs="Times New Roman"/>
                <w:i/>
              </w:rPr>
              <w:t>”, „Zināšanu-ietilpīga veselība” un „Informācijas un komunikāciju tehnoloģijas”.</w:t>
            </w:r>
          </w:p>
        </w:tc>
      </w:tr>
      <w:tr w:rsidR="009E4DD8" w:rsidRPr="009E4DD8" w:rsidTr="008A5D17">
        <w:tc>
          <w:tcPr>
            <w:tcW w:w="3898" w:type="dxa"/>
          </w:tcPr>
          <w:p w:rsidR="009E4DD8" w:rsidRPr="009E4DD8" w:rsidRDefault="009E4DD8" w:rsidP="009E4DD8">
            <w:pPr>
              <w:spacing w:after="160" w:line="259" w:lineRule="auto"/>
              <w:jc w:val="both"/>
              <w:rPr>
                <w:rFonts w:ascii="Times New Roman" w:hAnsi="Times New Roman" w:cs="Times New Roman"/>
                <w:b/>
                <w:i/>
                <w:u w:val="single"/>
              </w:rPr>
            </w:pPr>
            <w:r w:rsidRPr="009E4DD8">
              <w:rPr>
                <w:rFonts w:ascii="Times New Roman" w:hAnsi="Times New Roman" w:cs="Times New Roman"/>
                <w:b/>
                <w:i/>
                <w:u w:val="single"/>
              </w:rPr>
              <w:t xml:space="preserve">3.prioritāte: </w:t>
            </w:r>
          </w:p>
          <w:p w:rsidR="009E4DD8" w:rsidRPr="009E4DD8" w:rsidRDefault="009E4DD8" w:rsidP="009E4DD8">
            <w:pPr>
              <w:spacing w:after="160" w:line="259" w:lineRule="auto"/>
              <w:jc w:val="both"/>
              <w:rPr>
                <w:rFonts w:ascii="Times New Roman" w:hAnsi="Times New Roman" w:cs="Times New Roman"/>
              </w:rPr>
            </w:pPr>
            <w:r w:rsidRPr="009E4DD8">
              <w:rPr>
                <w:rFonts w:ascii="Times New Roman" w:hAnsi="Times New Roman" w:cs="Times New Roman"/>
              </w:rPr>
              <w:t>Energoefektivitātes paaugstināšana, kas ietver jaunu materiālu radīšanu, ražošanas procesu optimizāciju, tehnoloģisko jauninājumu ieviešanu, alternatīvo energoresursu izmantošanu u.c. risinājumus.</w:t>
            </w:r>
          </w:p>
        </w:tc>
        <w:tc>
          <w:tcPr>
            <w:tcW w:w="9341" w:type="dxa"/>
          </w:tcPr>
          <w:p w:rsidR="009E4DD8" w:rsidRPr="009E4DD8" w:rsidRDefault="009E4DD8" w:rsidP="009E4DD8">
            <w:pPr>
              <w:spacing w:after="160" w:line="259" w:lineRule="auto"/>
              <w:jc w:val="both"/>
              <w:rPr>
                <w:rFonts w:ascii="Times New Roman" w:hAnsi="Times New Roman" w:cs="Times New Roman"/>
              </w:rPr>
            </w:pPr>
            <w:r w:rsidRPr="009E4DD8">
              <w:rPr>
                <w:rFonts w:ascii="Times New Roman" w:hAnsi="Times New Roman" w:cs="Times New Roman"/>
              </w:rPr>
              <w:t>Zems energoefektivitātes līmenis rada gan enerģētiskās drošības, gan resursu ilgtspējas, gan konkurētspējas riskus. Energoefektivitātes līmeņa paaugstināšana tautsaimniecībā kopumā ar inovatīvu risinājumu palīdzību ir ilgtspējīgs  un izmaksu ziņā efektīvākais risku samazināšanas veids, vienlaikus radot papildu darbavietas un veicinot ekonomikas izaugsmi.</w:t>
            </w:r>
          </w:p>
          <w:p w:rsidR="009E4DD8" w:rsidRPr="009E4DD8" w:rsidRDefault="009E4DD8" w:rsidP="009E4DD8">
            <w:pPr>
              <w:spacing w:after="160" w:line="259" w:lineRule="auto"/>
              <w:jc w:val="both"/>
              <w:rPr>
                <w:rFonts w:ascii="Times New Roman" w:hAnsi="Times New Roman" w:cs="Times New Roman"/>
              </w:rPr>
            </w:pPr>
            <w:r w:rsidRPr="009E4DD8">
              <w:rPr>
                <w:rFonts w:ascii="Times New Roman" w:hAnsi="Times New Roman" w:cs="Times New Roman"/>
              </w:rPr>
              <w:t xml:space="preserve">Latvijā ir augsts tautsaimniecības </w:t>
            </w:r>
            <w:proofErr w:type="spellStart"/>
            <w:r w:rsidRPr="009E4DD8">
              <w:rPr>
                <w:rFonts w:ascii="Times New Roman" w:hAnsi="Times New Roman" w:cs="Times New Roman"/>
              </w:rPr>
              <w:t>energointensitātes</w:t>
            </w:r>
            <w:proofErr w:type="spellEnd"/>
            <w:r w:rsidRPr="009E4DD8">
              <w:rPr>
                <w:rFonts w:ascii="Times New Roman" w:hAnsi="Times New Roman" w:cs="Times New Roman"/>
              </w:rPr>
              <w:t xml:space="preserve"> (</w:t>
            </w:r>
            <w:proofErr w:type="spellStart"/>
            <w:r w:rsidRPr="009E4DD8">
              <w:rPr>
                <w:rFonts w:ascii="Times New Roman" w:hAnsi="Times New Roman" w:cs="Times New Roman"/>
              </w:rPr>
              <w:t>energo</w:t>
            </w:r>
            <w:proofErr w:type="spellEnd"/>
            <w:r w:rsidRPr="009E4DD8">
              <w:rPr>
                <w:rFonts w:ascii="Times New Roman" w:hAnsi="Times New Roman" w:cs="Times New Roman"/>
              </w:rPr>
              <w:t xml:space="preserve"> </w:t>
            </w:r>
            <w:proofErr w:type="spellStart"/>
            <w:r w:rsidRPr="009E4DD8">
              <w:rPr>
                <w:rFonts w:ascii="Times New Roman" w:hAnsi="Times New Roman" w:cs="Times New Roman"/>
              </w:rPr>
              <w:t>intensity</w:t>
            </w:r>
            <w:proofErr w:type="spellEnd"/>
            <w:r w:rsidRPr="009E4DD8">
              <w:rPr>
                <w:rFonts w:ascii="Times New Roman" w:hAnsi="Times New Roman" w:cs="Times New Roman"/>
              </w:rPr>
              <w:t xml:space="preserve">) līmenis (enerģijas patēriņš pret IKP, izteikts kilogramos naftas ekvivalentā uz tūkst. eiro). 2011.gadā </w:t>
            </w:r>
            <w:proofErr w:type="spellStart"/>
            <w:r w:rsidRPr="009E4DD8">
              <w:rPr>
                <w:rFonts w:ascii="Times New Roman" w:hAnsi="Times New Roman" w:cs="Times New Roman"/>
              </w:rPr>
              <w:t>energointensitātes</w:t>
            </w:r>
            <w:proofErr w:type="spellEnd"/>
            <w:r w:rsidRPr="009E4DD8">
              <w:rPr>
                <w:rFonts w:ascii="Times New Roman" w:hAnsi="Times New Roman" w:cs="Times New Roman"/>
              </w:rPr>
              <w:t xml:space="preserve"> līmenis bija 323,3 kg. naftas ekvivalenta uz tūkst. eiro, jeb 2,2 reizes augtāks nekā vidēji ES.</w:t>
            </w:r>
          </w:p>
          <w:p w:rsidR="009E4DD8" w:rsidRPr="009E4DD8" w:rsidRDefault="009E4DD8" w:rsidP="009E4DD8">
            <w:pPr>
              <w:spacing w:after="160" w:line="259" w:lineRule="auto"/>
              <w:jc w:val="both"/>
              <w:rPr>
                <w:rFonts w:ascii="Times New Roman" w:hAnsi="Times New Roman" w:cs="Times New Roman"/>
              </w:rPr>
            </w:pPr>
            <w:r w:rsidRPr="009E4DD8">
              <w:rPr>
                <w:rFonts w:ascii="Times New Roman" w:hAnsi="Times New Roman" w:cs="Times New Roman"/>
              </w:rPr>
              <w:t xml:space="preserve">Latvijas nacionālajā reformu programmā „ES2020” stratēģijas īstenošanai noteikts nacionālais mērķis sasniegt primārās enerģijas ietaupījumus 0,670 </w:t>
            </w:r>
            <w:proofErr w:type="spellStart"/>
            <w:r w:rsidRPr="009E4DD8">
              <w:rPr>
                <w:rFonts w:ascii="Times New Roman" w:hAnsi="Times New Roman" w:cs="Times New Roman"/>
              </w:rPr>
              <w:t>Mtoe</w:t>
            </w:r>
            <w:proofErr w:type="spellEnd"/>
            <w:r w:rsidRPr="009E4DD8">
              <w:rPr>
                <w:rFonts w:ascii="Times New Roman" w:hAnsi="Times New Roman" w:cs="Times New Roman"/>
              </w:rPr>
              <w:t xml:space="preserve"> 2020.gadā, savukārt Direktīvā 2012/27/ES par energoefektivitāti noteiktās obligātās saistības ikgadējas 1,5% gala enerģijas ietaupījumam atbilst 0,213 </w:t>
            </w:r>
            <w:proofErr w:type="spellStart"/>
            <w:r w:rsidRPr="009E4DD8">
              <w:rPr>
                <w:rFonts w:ascii="Times New Roman" w:hAnsi="Times New Roman" w:cs="Times New Roman"/>
              </w:rPr>
              <w:t>Mtoe</w:t>
            </w:r>
            <w:proofErr w:type="spellEnd"/>
            <w:r w:rsidRPr="009E4DD8">
              <w:rPr>
                <w:rFonts w:ascii="Times New Roman" w:hAnsi="Times New Roman" w:cs="Times New Roman"/>
              </w:rPr>
              <w:t xml:space="preserve"> 2020.gadā.</w:t>
            </w:r>
          </w:p>
          <w:p w:rsidR="009E4DD8" w:rsidRPr="009E4DD8" w:rsidRDefault="009E4DD8" w:rsidP="009E4DD8">
            <w:pPr>
              <w:spacing w:after="160" w:line="259" w:lineRule="auto"/>
              <w:jc w:val="both"/>
              <w:rPr>
                <w:rFonts w:ascii="Times New Roman" w:hAnsi="Times New Roman" w:cs="Times New Roman"/>
              </w:rPr>
            </w:pPr>
          </w:p>
          <w:p w:rsidR="009E4DD8" w:rsidRPr="009E4DD8" w:rsidRDefault="009E4DD8" w:rsidP="009E4DD8">
            <w:pPr>
              <w:spacing w:after="160" w:line="259" w:lineRule="auto"/>
              <w:jc w:val="both"/>
              <w:rPr>
                <w:rFonts w:ascii="Times New Roman" w:hAnsi="Times New Roman" w:cs="Times New Roman"/>
                <w:i/>
              </w:rPr>
            </w:pPr>
            <w:r w:rsidRPr="009E4DD8">
              <w:rPr>
                <w:rFonts w:ascii="Times New Roman" w:hAnsi="Times New Roman" w:cs="Times New Roman"/>
                <w:i/>
              </w:rPr>
              <w:t xml:space="preserve">Šai prioritātei atbilst specializācijas joma „Viedie materiāli, tehnoloģijas un </w:t>
            </w:r>
            <w:proofErr w:type="spellStart"/>
            <w:r w:rsidRPr="009E4DD8">
              <w:rPr>
                <w:rFonts w:ascii="Times New Roman" w:hAnsi="Times New Roman" w:cs="Times New Roman"/>
                <w:i/>
              </w:rPr>
              <w:t>inženiersistēmas</w:t>
            </w:r>
            <w:proofErr w:type="spellEnd"/>
            <w:r w:rsidRPr="009E4DD8">
              <w:rPr>
                <w:rFonts w:ascii="Times New Roman" w:hAnsi="Times New Roman" w:cs="Times New Roman"/>
                <w:i/>
              </w:rPr>
              <w:t xml:space="preserve">”, „Viedā enerģētika” un „Informācijas </w:t>
            </w:r>
            <w:r>
              <w:rPr>
                <w:rFonts w:ascii="Times New Roman" w:hAnsi="Times New Roman" w:cs="Times New Roman"/>
                <w:i/>
              </w:rPr>
              <w:t>un komunikāciju tehnoloģijas”.</w:t>
            </w:r>
          </w:p>
        </w:tc>
      </w:tr>
      <w:tr w:rsidR="009E4DD8" w:rsidRPr="009E4DD8" w:rsidTr="008A5D17">
        <w:tc>
          <w:tcPr>
            <w:tcW w:w="3898" w:type="dxa"/>
          </w:tcPr>
          <w:p w:rsidR="009E4DD8" w:rsidRPr="009E4DD8" w:rsidRDefault="009E4DD8" w:rsidP="009E4DD8">
            <w:pPr>
              <w:spacing w:after="160" w:line="259" w:lineRule="auto"/>
              <w:jc w:val="both"/>
              <w:rPr>
                <w:rFonts w:ascii="Times New Roman" w:hAnsi="Times New Roman" w:cs="Times New Roman"/>
                <w:b/>
              </w:rPr>
            </w:pPr>
            <w:r w:rsidRPr="009E4DD8">
              <w:rPr>
                <w:rFonts w:ascii="Times New Roman" w:hAnsi="Times New Roman" w:cs="Times New Roman"/>
                <w:b/>
                <w:i/>
                <w:u w:val="single"/>
              </w:rPr>
              <w:t>4.prioritāte:</w:t>
            </w:r>
            <w:r w:rsidRPr="009E4DD8">
              <w:rPr>
                <w:rFonts w:ascii="Times New Roman" w:hAnsi="Times New Roman" w:cs="Times New Roman"/>
                <w:b/>
              </w:rPr>
              <w:t xml:space="preserve">  </w:t>
            </w:r>
          </w:p>
          <w:p w:rsidR="009E4DD8" w:rsidRPr="009E4DD8" w:rsidRDefault="009E4DD8" w:rsidP="009E4DD8">
            <w:pPr>
              <w:spacing w:after="160" w:line="259" w:lineRule="auto"/>
              <w:jc w:val="both"/>
              <w:rPr>
                <w:rFonts w:ascii="Times New Roman" w:hAnsi="Times New Roman" w:cs="Times New Roman"/>
              </w:rPr>
            </w:pPr>
            <w:r w:rsidRPr="009E4DD8">
              <w:rPr>
                <w:rFonts w:ascii="Times New Roman" w:hAnsi="Times New Roman" w:cs="Times New Roman"/>
              </w:rPr>
              <w:lastRenderedPageBreak/>
              <w:t>Moderna un mūsdienu prasībām atbilstoša IKT sistēma privātajā un valsts sektorā.</w:t>
            </w:r>
          </w:p>
        </w:tc>
        <w:tc>
          <w:tcPr>
            <w:tcW w:w="9341" w:type="dxa"/>
          </w:tcPr>
          <w:p w:rsidR="009E4DD8" w:rsidRPr="009E4DD8" w:rsidRDefault="009E4DD8" w:rsidP="009E4DD8">
            <w:pPr>
              <w:spacing w:after="160" w:line="259" w:lineRule="auto"/>
              <w:jc w:val="both"/>
              <w:rPr>
                <w:rFonts w:ascii="Times New Roman" w:hAnsi="Times New Roman" w:cs="Times New Roman"/>
              </w:rPr>
            </w:pPr>
            <w:r w:rsidRPr="009E4DD8">
              <w:rPr>
                <w:rFonts w:ascii="Times New Roman" w:hAnsi="Times New Roman" w:cs="Times New Roman"/>
              </w:rPr>
              <w:lastRenderedPageBreak/>
              <w:t xml:space="preserve">IKT nozares jaunajām iespējām un risinājumiem jāsniedz lielāks ieguldījums citu nozaru attīstībā, būtiski paaugstinot to darba efektivitāti. Latvijas nacionālajā reformu programmā „ES2020” stratēģijas īstenošanai kā viens no reformu virzienu </w:t>
            </w:r>
            <w:proofErr w:type="spellStart"/>
            <w:r w:rsidRPr="009E4DD8">
              <w:rPr>
                <w:rFonts w:ascii="Times New Roman" w:hAnsi="Times New Roman" w:cs="Times New Roman"/>
              </w:rPr>
              <w:t>apakšpasākumiem</w:t>
            </w:r>
            <w:proofErr w:type="spellEnd"/>
            <w:r w:rsidRPr="009E4DD8">
              <w:rPr>
                <w:rFonts w:ascii="Times New Roman" w:hAnsi="Times New Roman" w:cs="Times New Roman"/>
              </w:rPr>
              <w:t xml:space="preserve"> ir minēta nepieciešamība paaugstināt </w:t>
            </w:r>
            <w:r w:rsidRPr="009E4DD8">
              <w:rPr>
                <w:rFonts w:ascii="Times New Roman" w:hAnsi="Times New Roman" w:cs="Times New Roman"/>
              </w:rPr>
              <w:lastRenderedPageBreak/>
              <w:t>informācijas un komunikāciju risinājumu (IKT) attīstību un digitālā vienotā tirgus ieviešanu, tādējādi sekmējot tautsaimniecības izaugsmi, kas saistīta ar nepieciešamību nodrošināt pieaugošo pieprasījumu pēc efektīvākiem biznesa procesu pārvaldības un analīzes risinājumiem. Turklāt elektronisko sakaru vienlīdzīga pieejamība visā Latvijas teritorijā paaugstinās IKT ieguldījumu visu tautsaimniecības nozaru izaugsmē un inovācijā. IKT attīstība ir cieši saistīta ar viedo un elastīgo pieeju izmantošanu industrijā.</w:t>
            </w:r>
          </w:p>
          <w:p w:rsidR="009E4DD8" w:rsidRPr="009E4DD8" w:rsidRDefault="009E4DD8" w:rsidP="009E4DD8">
            <w:pPr>
              <w:spacing w:after="160" w:line="259" w:lineRule="auto"/>
              <w:jc w:val="both"/>
              <w:rPr>
                <w:rFonts w:ascii="Times New Roman" w:hAnsi="Times New Roman" w:cs="Times New Roman"/>
              </w:rPr>
            </w:pPr>
            <w:r w:rsidRPr="009E4DD8">
              <w:rPr>
                <w:rFonts w:ascii="Times New Roman" w:hAnsi="Times New Roman" w:cs="Times New Roman"/>
              </w:rPr>
              <w:t xml:space="preserve">Publiskās pārvaldes rīcībā esošo datu atvēršana ietver nerealizētu ekonomisku un sociālu potenciālu. Datus nododot atklātībā, tie var tikt izmantoti jaunu produktu un pakalpojumu, kā arī inovāciju radīšanā, zinātniskajā un pētnieciskajā darbā. Atvērta, droša un </w:t>
            </w:r>
            <w:proofErr w:type="spellStart"/>
            <w:r w:rsidRPr="009E4DD8">
              <w:rPr>
                <w:rFonts w:ascii="Times New Roman" w:hAnsi="Times New Roman" w:cs="Times New Roman"/>
              </w:rPr>
              <w:t>sadarbspējīga</w:t>
            </w:r>
            <w:proofErr w:type="spellEnd"/>
            <w:r w:rsidRPr="009E4DD8">
              <w:rPr>
                <w:rFonts w:ascii="Times New Roman" w:hAnsi="Times New Roman" w:cs="Times New Roman"/>
              </w:rPr>
              <w:t xml:space="preserve"> publisko datu infrastruktūra ir viens no galvenajiem risinājumiem, lai palielinātu valsts ekonomisko izaugsmi.</w:t>
            </w:r>
          </w:p>
          <w:p w:rsidR="009E4DD8" w:rsidRPr="009E4DD8" w:rsidRDefault="009E4DD8" w:rsidP="009E4DD8">
            <w:pPr>
              <w:spacing w:after="160" w:line="259" w:lineRule="auto"/>
              <w:jc w:val="both"/>
              <w:rPr>
                <w:rFonts w:ascii="Times New Roman" w:hAnsi="Times New Roman" w:cs="Times New Roman"/>
              </w:rPr>
            </w:pPr>
            <w:r w:rsidRPr="009E4DD8">
              <w:rPr>
                <w:rFonts w:ascii="Times New Roman" w:hAnsi="Times New Roman" w:cs="Times New Roman"/>
              </w:rPr>
              <w:t>Informācijas sabiedrības attīstības pamatnostādnēs 2014.-2020.gadam ir noteiktas IKT jomas prioritātes Latvijā, kas ir izstrādātas, ņemot vērā Digitālās programmas Eiropai noteiktās prioritātes un Eiropas Komisijas izvirzītos mērķus Digitālā vienotā tirgus attīstībai: IKT izglītības un e-prasmju attīstība, plaši pieejama piekļuve internetam, moderna un efektīva publiskā pārvalde, e-pakalpojumu un digitālā satura attīstība, pārrobežu sadarbība digitālā vienotā tirgus attīstībai, kā arī IKT pētniecības un inovācijas, uzticēšanās un drošības veicināšana.</w:t>
            </w:r>
          </w:p>
          <w:p w:rsidR="009E4DD8" w:rsidRPr="009E4DD8" w:rsidRDefault="009E4DD8" w:rsidP="009E4DD8">
            <w:pPr>
              <w:spacing w:after="160" w:line="259" w:lineRule="auto"/>
              <w:jc w:val="both"/>
              <w:rPr>
                <w:rFonts w:ascii="Times New Roman" w:hAnsi="Times New Roman" w:cs="Times New Roman"/>
              </w:rPr>
            </w:pPr>
            <w:r w:rsidRPr="009E4DD8">
              <w:rPr>
                <w:rFonts w:ascii="Times New Roman" w:hAnsi="Times New Roman" w:cs="Times New Roman"/>
              </w:rPr>
              <w:t xml:space="preserve">IKT nozaru ieguldījums jāveicina, veidojot arī digitālā satura resursus un  nodrošinot to pieejamību jaunu produktu un pakalpojumu veidošanai, attiecīgi jāattīsta digitālā satura bāze un jāveicina IKT un citu nozaru kopdarbība (valodu tehnoloģiju attīstīšana, kultūras un izglītības satura </w:t>
            </w:r>
            <w:proofErr w:type="spellStart"/>
            <w:r w:rsidRPr="009E4DD8">
              <w:rPr>
                <w:rFonts w:ascii="Times New Roman" w:hAnsi="Times New Roman" w:cs="Times New Roman"/>
              </w:rPr>
              <w:t>digitalizācija</w:t>
            </w:r>
            <w:proofErr w:type="spellEnd"/>
            <w:r w:rsidRPr="009E4DD8">
              <w:rPr>
                <w:rFonts w:ascii="Times New Roman" w:hAnsi="Times New Roman" w:cs="Times New Roman"/>
              </w:rPr>
              <w:t xml:space="preserve"> utt.).</w:t>
            </w:r>
          </w:p>
          <w:p w:rsidR="009E4DD8" w:rsidRDefault="009E4DD8" w:rsidP="009E4DD8">
            <w:pPr>
              <w:spacing w:after="160" w:line="259" w:lineRule="auto"/>
              <w:jc w:val="both"/>
              <w:rPr>
                <w:rFonts w:ascii="Times New Roman" w:hAnsi="Times New Roman" w:cs="Times New Roman"/>
              </w:rPr>
            </w:pPr>
          </w:p>
          <w:p w:rsidR="009E4DD8" w:rsidRPr="009E4DD8" w:rsidRDefault="009E4DD8" w:rsidP="009E4DD8">
            <w:pPr>
              <w:spacing w:after="160" w:line="259" w:lineRule="auto"/>
              <w:jc w:val="both"/>
              <w:rPr>
                <w:rFonts w:ascii="Times New Roman" w:hAnsi="Times New Roman" w:cs="Times New Roman"/>
                <w:i/>
              </w:rPr>
            </w:pPr>
            <w:r w:rsidRPr="009E4DD8">
              <w:rPr>
                <w:rFonts w:ascii="Times New Roman" w:hAnsi="Times New Roman" w:cs="Times New Roman"/>
                <w:i/>
              </w:rPr>
              <w:t>Šai prioritātei atbilst specializācijas joma „Informācijas un komunikāciju tehnoloģijas”.</w:t>
            </w:r>
          </w:p>
        </w:tc>
      </w:tr>
      <w:tr w:rsidR="009E4DD8" w:rsidRPr="009E4DD8" w:rsidTr="008A5D17">
        <w:tc>
          <w:tcPr>
            <w:tcW w:w="3898" w:type="dxa"/>
          </w:tcPr>
          <w:p w:rsidR="009E4DD8" w:rsidRPr="009E4DD8" w:rsidRDefault="009E4DD8" w:rsidP="009E4DD8">
            <w:pPr>
              <w:spacing w:after="160" w:line="259" w:lineRule="auto"/>
              <w:jc w:val="both"/>
              <w:rPr>
                <w:rFonts w:ascii="Times New Roman" w:hAnsi="Times New Roman" w:cs="Times New Roman"/>
                <w:b/>
              </w:rPr>
            </w:pPr>
            <w:r w:rsidRPr="009E4DD8">
              <w:rPr>
                <w:rFonts w:ascii="Times New Roman" w:hAnsi="Times New Roman" w:cs="Times New Roman"/>
                <w:b/>
                <w:i/>
                <w:u w:val="single"/>
              </w:rPr>
              <w:lastRenderedPageBreak/>
              <w:t>5.prioritāte:</w:t>
            </w:r>
            <w:r w:rsidRPr="009E4DD8">
              <w:rPr>
                <w:rFonts w:ascii="Times New Roman" w:hAnsi="Times New Roman" w:cs="Times New Roman"/>
                <w:b/>
              </w:rPr>
              <w:t xml:space="preserve"> </w:t>
            </w:r>
          </w:p>
          <w:p w:rsidR="009E4DD8" w:rsidRPr="009E4DD8" w:rsidRDefault="009E4DD8" w:rsidP="009E4DD8">
            <w:pPr>
              <w:spacing w:after="160" w:line="259" w:lineRule="auto"/>
              <w:jc w:val="both"/>
              <w:rPr>
                <w:rFonts w:ascii="Times New Roman" w:hAnsi="Times New Roman" w:cs="Times New Roman"/>
              </w:rPr>
            </w:pPr>
            <w:r w:rsidRPr="009E4DD8">
              <w:rPr>
                <w:rFonts w:ascii="Times New Roman" w:hAnsi="Times New Roman" w:cs="Times New Roman"/>
              </w:rPr>
              <w:t xml:space="preserve">Moderna un nākotnes darba tirgus prasībām atbilstoša izglītības sistēma, kas veicina tautsaimniecības transformāciju un VSS prioritāšu īstenošanai nepieciešamo kompetenču, </w:t>
            </w:r>
            <w:proofErr w:type="spellStart"/>
            <w:r w:rsidRPr="009E4DD8">
              <w:rPr>
                <w:rFonts w:ascii="Times New Roman" w:hAnsi="Times New Roman" w:cs="Times New Roman"/>
              </w:rPr>
              <w:lastRenderedPageBreak/>
              <w:t>uzņēmējspējas</w:t>
            </w:r>
            <w:proofErr w:type="spellEnd"/>
            <w:r w:rsidRPr="009E4DD8">
              <w:rPr>
                <w:rFonts w:ascii="Times New Roman" w:hAnsi="Times New Roman" w:cs="Times New Roman"/>
              </w:rPr>
              <w:t xml:space="preserve"> un radošuma attīstību visos izglītības līmeņos.</w:t>
            </w:r>
          </w:p>
        </w:tc>
        <w:tc>
          <w:tcPr>
            <w:tcW w:w="9341" w:type="dxa"/>
          </w:tcPr>
          <w:p w:rsidR="009E4DD8" w:rsidRPr="009E4DD8" w:rsidRDefault="009E4DD8" w:rsidP="009E4DD8">
            <w:pPr>
              <w:spacing w:after="160" w:line="259" w:lineRule="auto"/>
              <w:jc w:val="both"/>
              <w:rPr>
                <w:rFonts w:ascii="Times New Roman" w:hAnsi="Times New Roman" w:cs="Times New Roman"/>
              </w:rPr>
            </w:pPr>
            <w:r w:rsidRPr="009E4DD8">
              <w:rPr>
                <w:rFonts w:ascii="Times New Roman" w:hAnsi="Times New Roman" w:cs="Times New Roman"/>
              </w:rPr>
              <w:lastRenderedPageBreak/>
              <w:t xml:space="preserve">Vidējā termiņā un ilgtermiņā Latvijas ekonomika saskarsies ar profesionāla un augsti kvalificēta (galvenokārt ar koledžas vai augstāku izglītības līmeni) darbaspēka nepietiekamību, kā arī ar sabiedrības zemo absorbcijas kapacitāti un moderno kompetenču trūkumu kopumā. Galvenās problēmas, ar kurām saskarsimies nākotnē, ir nepietiekams kvalificētu speciālistu skaits, galvenokārt dabas un inženierzinātņu jomās (gan vidējās, gan augstākās izglītības līmenī), un augsti kvalificētu speciālistu trūkums ar nākotnei nepieciešamajām prasmēm – tehniskā specializācija, kas apvienota ar radošām, uzņēmējdarbības un </w:t>
            </w:r>
            <w:proofErr w:type="spellStart"/>
            <w:r w:rsidRPr="009E4DD8">
              <w:rPr>
                <w:rFonts w:ascii="Times New Roman" w:hAnsi="Times New Roman" w:cs="Times New Roman"/>
              </w:rPr>
              <w:lastRenderedPageBreak/>
              <w:t>problēmrisināšanas</w:t>
            </w:r>
            <w:proofErr w:type="spellEnd"/>
            <w:r w:rsidRPr="009E4DD8">
              <w:rPr>
                <w:rFonts w:ascii="Times New Roman" w:hAnsi="Times New Roman" w:cs="Times New Roman"/>
              </w:rPr>
              <w:t xml:space="preserve"> kompetencēm. Latvijas absorbcijas kapacitātes palielināšanai ir nepieciešams attīstīt  spēju identificēt, saprast un izmantot tautsaimniecības attīstībai globālajā zināšanu telpā esošās zināšanas un kompetences. Ir nepieciešams attīstīt tādas </w:t>
            </w:r>
            <w:proofErr w:type="spellStart"/>
            <w:r w:rsidRPr="009E4DD8">
              <w:rPr>
                <w:rFonts w:ascii="Times New Roman" w:hAnsi="Times New Roman" w:cs="Times New Roman"/>
              </w:rPr>
              <w:t>tīklveida</w:t>
            </w:r>
            <w:proofErr w:type="spellEnd"/>
            <w:r w:rsidRPr="009E4DD8">
              <w:rPr>
                <w:rFonts w:ascii="Times New Roman" w:hAnsi="Times New Roman" w:cs="Times New Roman"/>
              </w:rPr>
              <w:t xml:space="preserve"> struktūras, kas nodrošina patstāvīgas saiknes starp globālo un vietējo. Augstākās izglītības institūcijās ir nepieciešams attīstīt tādu izglītību, kas:</w:t>
            </w:r>
          </w:p>
          <w:p w:rsidR="009E4DD8" w:rsidRPr="009E4DD8" w:rsidRDefault="009E4DD8" w:rsidP="009E4DD8">
            <w:pPr>
              <w:numPr>
                <w:ilvl w:val="0"/>
                <w:numId w:val="1"/>
              </w:numPr>
              <w:spacing w:after="160" w:line="259" w:lineRule="auto"/>
              <w:jc w:val="both"/>
              <w:rPr>
                <w:rFonts w:ascii="Times New Roman" w:hAnsi="Times New Roman" w:cs="Times New Roman"/>
              </w:rPr>
            </w:pPr>
            <w:r w:rsidRPr="009E4DD8">
              <w:rPr>
                <w:rFonts w:ascii="Times New Roman" w:hAnsi="Times New Roman" w:cs="Times New Roman"/>
              </w:rPr>
              <w:t xml:space="preserve">Ir balstīta modernas izglītības izpratnē un nodrošina modernu kompetenču attīstību, tai skaitā problēmu risināšana, datu apstrāde un izmantošana, iespēju identificēšana un izmantošana, tehniskā jaunrade un augstas pievienotās vērtības amatu </w:t>
            </w:r>
            <w:proofErr w:type="spellStart"/>
            <w:r w:rsidRPr="009E4DD8">
              <w:rPr>
                <w:rFonts w:ascii="Times New Roman" w:hAnsi="Times New Roman" w:cs="Times New Roman"/>
              </w:rPr>
              <w:t>pratība</w:t>
            </w:r>
            <w:proofErr w:type="spellEnd"/>
            <w:r w:rsidRPr="009E4DD8">
              <w:rPr>
                <w:rFonts w:ascii="Times New Roman" w:hAnsi="Times New Roman" w:cs="Times New Roman"/>
              </w:rPr>
              <w:t>;</w:t>
            </w:r>
          </w:p>
          <w:p w:rsidR="009E4DD8" w:rsidRPr="009E4DD8" w:rsidRDefault="009E4DD8" w:rsidP="009E4DD8">
            <w:pPr>
              <w:numPr>
                <w:ilvl w:val="0"/>
                <w:numId w:val="1"/>
              </w:numPr>
              <w:spacing w:after="160" w:line="259" w:lineRule="auto"/>
              <w:jc w:val="both"/>
              <w:rPr>
                <w:rFonts w:ascii="Times New Roman" w:hAnsi="Times New Roman" w:cs="Times New Roman"/>
              </w:rPr>
            </w:pPr>
            <w:r w:rsidRPr="009E4DD8">
              <w:rPr>
                <w:rFonts w:ascii="Times New Roman" w:hAnsi="Times New Roman" w:cs="Times New Roman"/>
              </w:rPr>
              <w:t>Nodrošina stratēģiskajām specializācijas jomām nepieciešamo globālo zināšanu iegūšanu un izplatīšanu, it īpaši veidojot ilgtspējīgu iegūšanas un izplatīšanas sistēmu - tai skaitā veidojot jaunus uzņēmumus un konkrētu uzņēmumu vajadzībām atbilstošu specializāciju studiju laikā, kā arī sadarbības tīklus individuālā un organizāciju līmenī;</w:t>
            </w:r>
          </w:p>
          <w:p w:rsidR="009E4DD8" w:rsidRPr="009E4DD8" w:rsidRDefault="009E4DD8" w:rsidP="009E4DD8">
            <w:pPr>
              <w:numPr>
                <w:ilvl w:val="0"/>
                <w:numId w:val="1"/>
              </w:numPr>
              <w:spacing w:after="160" w:line="259" w:lineRule="auto"/>
              <w:jc w:val="both"/>
              <w:rPr>
                <w:rFonts w:ascii="Times New Roman" w:hAnsi="Times New Roman" w:cs="Times New Roman"/>
              </w:rPr>
            </w:pPr>
            <w:r w:rsidRPr="009E4DD8">
              <w:rPr>
                <w:rFonts w:ascii="Times New Roman" w:hAnsi="Times New Roman" w:cs="Times New Roman"/>
              </w:rPr>
              <w:t xml:space="preserve">Nodrošina ar specializācijas jomu attīstību saistīto sociālo problēmu risināšanu, sabiedrības analītiskās un absorbcijas kapacitātes celšanu caur pastāvīgu </w:t>
            </w:r>
            <w:proofErr w:type="spellStart"/>
            <w:r w:rsidRPr="009E4DD8">
              <w:rPr>
                <w:rFonts w:ascii="Times New Roman" w:hAnsi="Times New Roman" w:cs="Times New Roman"/>
              </w:rPr>
              <w:t>proaktīvu</w:t>
            </w:r>
            <w:proofErr w:type="spellEnd"/>
            <w:r w:rsidRPr="009E4DD8">
              <w:rPr>
                <w:rFonts w:ascii="Times New Roman" w:hAnsi="Times New Roman" w:cs="Times New Roman"/>
              </w:rPr>
              <w:t xml:space="preserve"> zināšanu un kompetenču piedāvājumu dažādām sabiedrības grupām un organizācijām;</w:t>
            </w:r>
          </w:p>
          <w:p w:rsidR="009E4DD8" w:rsidRPr="009E4DD8" w:rsidRDefault="009E4DD8" w:rsidP="009E4DD8">
            <w:pPr>
              <w:numPr>
                <w:ilvl w:val="0"/>
                <w:numId w:val="1"/>
              </w:numPr>
              <w:spacing w:after="160" w:line="259" w:lineRule="auto"/>
              <w:jc w:val="both"/>
              <w:rPr>
                <w:rFonts w:ascii="Times New Roman" w:hAnsi="Times New Roman" w:cs="Times New Roman"/>
              </w:rPr>
            </w:pPr>
            <w:r w:rsidRPr="009E4DD8">
              <w:rPr>
                <w:rFonts w:ascii="Times New Roman" w:hAnsi="Times New Roman" w:cs="Times New Roman"/>
              </w:rPr>
              <w:t xml:space="preserve">Izkopj un nostiprina aktīvas radošas darbības un inovācijas vērtību. </w:t>
            </w:r>
          </w:p>
        </w:tc>
      </w:tr>
      <w:tr w:rsidR="009E4DD8" w:rsidRPr="009E4DD8" w:rsidTr="008A5D17">
        <w:tc>
          <w:tcPr>
            <w:tcW w:w="3898" w:type="dxa"/>
          </w:tcPr>
          <w:p w:rsidR="009E4DD8" w:rsidRPr="009E4DD8" w:rsidRDefault="009E4DD8" w:rsidP="009E4DD8">
            <w:pPr>
              <w:spacing w:after="160" w:line="259" w:lineRule="auto"/>
              <w:jc w:val="both"/>
              <w:rPr>
                <w:rFonts w:ascii="Times New Roman" w:hAnsi="Times New Roman" w:cs="Times New Roman"/>
                <w:b/>
                <w:i/>
                <w:u w:val="single"/>
              </w:rPr>
            </w:pPr>
            <w:r w:rsidRPr="009E4DD8">
              <w:rPr>
                <w:rFonts w:ascii="Times New Roman" w:hAnsi="Times New Roman" w:cs="Times New Roman"/>
                <w:b/>
                <w:i/>
                <w:u w:val="single"/>
              </w:rPr>
              <w:lastRenderedPageBreak/>
              <w:t>6.prioritāte:</w:t>
            </w:r>
          </w:p>
          <w:p w:rsidR="009E4DD8" w:rsidRPr="009E4DD8" w:rsidRDefault="009E4DD8" w:rsidP="009E4DD8">
            <w:pPr>
              <w:spacing w:after="160" w:line="259" w:lineRule="auto"/>
              <w:jc w:val="both"/>
              <w:rPr>
                <w:rFonts w:ascii="Times New Roman" w:hAnsi="Times New Roman" w:cs="Times New Roman"/>
              </w:rPr>
            </w:pPr>
            <w:r w:rsidRPr="009E4DD8">
              <w:rPr>
                <w:rFonts w:ascii="Times New Roman" w:hAnsi="Times New Roman" w:cs="Times New Roman"/>
              </w:rPr>
              <w:t xml:space="preserve">Attīstīta zināšanu bāze un </w:t>
            </w:r>
            <w:proofErr w:type="spellStart"/>
            <w:r w:rsidRPr="009E4DD8">
              <w:rPr>
                <w:rFonts w:ascii="Times New Roman" w:hAnsi="Times New Roman" w:cs="Times New Roman"/>
              </w:rPr>
              <w:t>cilvēkkapitāls</w:t>
            </w:r>
            <w:proofErr w:type="spellEnd"/>
            <w:r w:rsidRPr="009E4DD8">
              <w:rPr>
                <w:rFonts w:ascii="Times New Roman" w:hAnsi="Times New Roman" w:cs="Times New Roman"/>
              </w:rPr>
              <w:t xml:space="preserve"> zināšanu jomās, kurās Latvijai ir salīdzinošās priekšrocības un kas ir nozīmīgas tautsaimniecības transformācijas procesā: zināšanu jomās, kas saistītas ar zināšanu-ietilpīgas </w:t>
            </w:r>
            <w:proofErr w:type="spellStart"/>
            <w:r w:rsidRPr="009E4DD8">
              <w:rPr>
                <w:rFonts w:ascii="Times New Roman" w:hAnsi="Times New Roman" w:cs="Times New Roman"/>
              </w:rPr>
              <w:t>bioekonomikas</w:t>
            </w:r>
            <w:proofErr w:type="spellEnd"/>
            <w:r w:rsidRPr="009E4DD8">
              <w:rPr>
                <w:rFonts w:ascii="Times New Roman" w:hAnsi="Times New Roman" w:cs="Times New Roman"/>
              </w:rPr>
              <w:t xml:space="preserve">, zināšanu-ietilpīgas veselības (tajā skaitā farmācijā, </w:t>
            </w:r>
            <w:proofErr w:type="spellStart"/>
            <w:r w:rsidRPr="009E4DD8">
              <w:rPr>
                <w:rFonts w:ascii="Times New Roman" w:hAnsi="Times New Roman" w:cs="Times New Roman"/>
              </w:rPr>
              <w:t>biomedicīnā</w:t>
            </w:r>
            <w:proofErr w:type="spellEnd"/>
            <w:r w:rsidRPr="009E4DD8">
              <w:rPr>
                <w:rFonts w:ascii="Times New Roman" w:hAnsi="Times New Roman" w:cs="Times New Roman"/>
              </w:rPr>
              <w:t xml:space="preserve">  un translācijas medicīnā), viedās enerģētikas un IKT nozaru </w:t>
            </w:r>
            <w:r w:rsidRPr="009E4DD8">
              <w:rPr>
                <w:rFonts w:ascii="Times New Roman" w:hAnsi="Times New Roman" w:cs="Times New Roman"/>
              </w:rPr>
              <w:lastRenderedPageBreak/>
              <w:t xml:space="preserve">attīstības vajadzībām un EK identificētajās </w:t>
            </w:r>
            <w:proofErr w:type="spellStart"/>
            <w:r w:rsidRPr="009E4DD8">
              <w:rPr>
                <w:rFonts w:ascii="Times New Roman" w:hAnsi="Times New Roman" w:cs="Times New Roman"/>
              </w:rPr>
              <w:t>atslēgtehnoloģiju</w:t>
            </w:r>
            <w:proofErr w:type="spellEnd"/>
            <w:r w:rsidRPr="009E4DD8">
              <w:rPr>
                <w:rFonts w:ascii="Times New Roman" w:hAnsi="Times New Roman" w:cs="Times New Roman"/>
              </w:rPr>
              <w:t xml:space="preserve"> (</w:t>
            </w:r>
            <w:proofErr w:type="spellStart"/>
            <w:r w:rsidRPr="009E4DD8">
              <w:rPr>
                <w:rFonts w:ascii="Times New Roman" w:hAnsi="Times New Roman" w:cs="Times New Roman"/>
              </w:rPr>
              <w:t>nanotehnoloģijas</w:t>
            </w:r>
            <w:proofErr w:type="spellEnd"/>
            <w:r w:rsidRPr="009E4DD8">
              <w:rPr>
                <w:rFonts w:ascii="Times New Roman" w:hAnsi="Times New Roman" w:cs="Times New Roman"/>
              </w:rPr>
              <w:t xml:space="preserve">, mikro un </w:t>
            </w:r>
            <w:proofErr w:type="spellStart"/>
            <w:r w:rsidRPr="009E4DD8">
              <w:rPr>
                <w:rFonts w:ascii="Times New Roman" w:hAnsi="Times New Roman" w:cs="Times New Roman"/>
              </w:rPr>
              <w:t>nano</w:t>
            </w:r>
            <w:proofErr w:type="spellEnd"/>
            <w:r w:rsidRPr="009E4DD8">
              <w:rPr>
                <w:rFonts w:ascii="Times New Roman" w:hAnsi="Times New Roman" w:cs="Times New Roman"/>
              </w:rPr>
              <w:t xml:space="preserve">-elektronika, </w:t>
            </w:r>
            <w:proofErr w:type="spellStart"/>
            <w:r w:rsidRPr="009E4DD8">
              <w:rPr>
                <w:rFonts w:ascii="Times New Roman" w:hAnsi="Times New Roman" w:cs="Times New Roman"/>
              </w:rPr>
              <w:t>fotonika</w:t>
            </w:r>
            <w:proofErr w:type="spellEnd"/>
            <w:r w:rsidRPr="009E4DD8">
              <w:rPr>
                <w:rFonts w:ascii="Times New Roman" w:hAnsi="Times New Roman" w:cs="Times New Roman"/>
              </w:rPr>
              <w:t xml:space="preserve">, </w:t>
            </w:r>
            <w:proofErr w:type="spellStart"/>
            <w:r w:rsidRPr="009E4DD8">
              <w:rPr>
                <w:rFonts w:ascii="Times New Roman" w:hAnsi="Times New Roman" w:cs="Times New Roman"/>
              </w:rPr>
              <w:t>advancētie</w:t>
            </w:r>
            <w:proofErr w:type="spellEnd"/>
            <w:r w:rsidRPr="009E4DD8">
              <w:rPr>
                <w:rFonts w:ascii="Times New Roman" w:hAnsi="Times New Roman" w:cs="Times New Roman"/>
              </w:rPr>
              <w:t xml:space="preserve"> materiāli un ražošanas sistēmas, biotehnoloģijas) jomās.</w:t>
            </w:r>
          </w:p>
        </w:tc>
        <w:tc>
          <w:tcPr>
            <w:tcW w:w="9341" w:type="dxa"/>
          </w:tcPr>
          <w:p w:rsidR="009E4DD8" w:rsidRPr="009E4DD8" w:rsidRDefault="009E4DD8" w:rsidP="009E4DD8">
            <w:pPr>
              <w:spacing w:after="160" w:line="259" w:lineRule="auto"/>
              <w:jc w:val="both"/>
              <w:rPr>
                <w:rFonts w:ascii="Times New Roman" w:hAnsi="Times New Roman" w:cs="Times New Roman"/>
              </w:rPr>
            </w:pPr>
            <w:r w:rsidRPr="009E4DD8">
              <w:rPr>
                <w:rFonts w:ascii="Times New Roman" w:hAnsi="Times New Roman" w:cs="Times New Roman"/>
              </w:rPr>
              <w:lastRenderedPageBreak/>
              <w:t xml:space="preserve">Zinātnes un pētniecības kapacitāte Latvijā dažādās zināšanu jomās ir neviendabīga. Starptautiskais zinātnes izvērtēju parādīja, ka Latvijā eksistē zināma kapacitāte visās zinātņu nozarēs, kā arī atsevišķas izcilības. Tai pat laikā gan zināšanu bāze, gan arī </w:t>
            </w:r>
            <w:proofErr w:type="spellStart"/>
            <w:r w:rsidRPr="009E4DD8">
              <w:rPr>
                <w:rFonts w:ascii="Times New Roman" w:hAnsi="Times New Roman" w:cs="Times New Roman"/>
              </w:rPr>
              <w:t>cilvēkkapitāls</w:t>
            </w:r>
            <w:proofErr w:type="spellEnd"/>
            <w:r w:rsidRPr="009E4DD8">
              <w:rPr>
                <w:rFonts w:ascii="Times New Roman" w:hAnsi="Times New Roman" w:cs="Times New Roman"/>
              </w:rPr>
              <w:t xml:space="preserve"> (pētnieki un inženieri un to sadarbības tīkli) ir noplicināts vai nepietiekošs izvirzīto attīstības mērķu sasniegšanai. Atsevišķās zinātņu nozarēs, piemēram matemātikā situācija ir kritiska. Par to liecina gan mazs nodarbināto skaits zinātnē (zinātnieku novecošanās, nepietiekams doktorantu skaits), gan arī saikņu ar industriju, un citām zinātniskajām institūcijām neesamība. Tāpēc ir nepieciešams ieguldījums zināšanu bāzes un </w:t>
            </w:r>
            <w:proofErr w:type="spellStart"/>
            <w:r w:rsidRPr="009E4DD8">
              <w:rPr>
                <w:rFonts w:ascii="Times New Roman" w:hAnsi="Times New Roman" w:cs="Times New Roman"/>
              </w:rPr>
              <w:t>cilvēkkapitāla</w:t>
            </w:r>
            <w:proofErr w:type="spellEnd"/>
            <w:r w:rsidRPr="009E4DD8">
              <w:rPr>
                <w:rFonts w:ascii="Times New Roman" w:hAnsi="Times New Roman" w:cs="Times New Roman"/>
              </w:rPr>
              <w:t xml:space="preserve"> uzturēšanā un attīstībā. Būtiski jāceļ pētniecības un absorbcijas kapacitāte Latvijas uzņēmumos, kā arī to iesaiste stratēģiskajai specializācija atbilstošajos zināšanu tīklos.</w:t>
            </w:r>
          </w:p>
        </w:tc>
      </w:tr>
      <w:tr w:rsidR="009E4DD8" w:rsidRPr="009E4DD8" w:rsidTr="008A5D17">
        <w:tc>
          <w:tcPr>
            <w:tcW w:w="3898" w:type="dxa"/>
          </w:tcPr>
          <w:p w:rsidR="009E4DD8" w:rsidRPr="009E4DD8" w:rsidRDefault="009E4DD8" w:rsidP="009E4DD8">
            <w:pPr>
              <w:spacing w:after="160" w:line="259" w:lineRule="auto"/>
              <w:jc w:val="both"/>
              <w:rPr>
                <w:rFonts w:ascii="Times New Roman" w:hAnsi="Times New Roman" w:cs="Times New Roman"/>
                <w:b/>
                <w:i/>
                <w:u w:val="single"/>
              </w:rPr>
            </w:pPr>
            <w:r w:rsidRPr="009E4DD8">
              <w:rPr>
                <w:rFonts w:ascii="Times New Roman" w:hAnsi="Times New Roman" w:cs="Times New Roman"/>
                <w:b/>
                <w:i/>
                <w:u w:val="single"/>
              </w:rPr>
              <w:t xml:space="preserve">7.prioritāte: </w:t>
            </w:r>
          </w:p>
          <w:p w:rsidR="009E4DD8" w:rsidRPr="009E4DD8" w:rsidRDefault="009E4DD8" w:rsidP="009E4DD8">
            <w:pPr>
              <w:spacing w:after="160" w:line="259" w:lineRule="auto"/>
              <w:jc w:val="both"/>
              <w:rPr>
                <w:rFonts w:ascii="Times New Roman" w:hAnsi="Times New Roman" w:cs="Times New Roman"/>
              </w:rPr>
            </w:pPr>
            <w:r w:rsidRPr="009E4DD8">
              <w:rPr>
                <w:rFonts w:ascii="Times New Roman" w:hAnsi="Times New Roman" w:cs="Times New Roman"/>
              </w:rPr>
              <w:t>Teritoriju esošo resursu apzināšana un specializācija, izvirzot perspektīvās ekonomiskās attīstības iespējas un virzienus, t.sk. vadošos un perspektīvos uzņēmējdarbības virzienus pašvaldības teritorijās.</w:t>
            </w:r>
          </w:p>
        </w:tc>
        <w:tc>
          <w:tcPr>
            <w:tcW w:w="9341" w:type="dxa"/>
          </w:tcPr>
          <w:p w:rsidR="009E4DD8" w:rsidRPr="009E4DD8" w:rsidRDefault="009E4DD8" w:rsidP="009E4DD8">
            <w:pPr>
              <w:spacing w:after="160" w:line="259" w:lineRule="auto"/>
              <w:jc w:val="both"/>
              <w:rPr>
                <w:rFonts w:ascii="Times New Roman" w:hAnsi="Times New Roman" w:cs="Times New Roman"/>
              </w:rPr>
            </w:pPr>
            <w:r w:rsidRPr="009E4DD8">
              <w:rPr>
                <w:rFonts w:ascii="Times New Roman" w:hAnsi="Times New Roman" w:cs="Times New Roman"/>
              </w:rPr>
              <w:t xml:space="preserve">Šobrīd Latvijā vērojama </w:t>
            </w:r>
            <w:proofErr w:type="spellStart"/>
            <w:r w:rsidRPr="009E4DD8">
              <w:rPr>
                <w:rFonts w:ascii="Times New Roman" w:hAnsi="Times New Roman" w:cs="Times New Roman"/>
              </w:rPr>
              <w:t>monocentriska</w:t>
            </w:r>
            <w:proofErr w:type="spellEnd"/>
            <w:r w:rsidRPr="009E4DD8">
              <w:rPr>
                <w:rFonts w:ascii="Times New Roman" w:hAnsi="Times New Roman" w:cs="Times New Roman"/>
              </w:rPr>
              <w:t xml:space="preserve"> attīstība, kas rada periferiālu un nelabvēlīgu vidi uzņēmējdarbībai reģionos, veicina teritoriju </w:t>
            </w:r>
            <w:proofErr w:type="spellStart"/>
            <w:r w:rsidRPr="009E4DD8">
              <w:rPr>
                <w:rFonts w:ascii="Times New Roman" w:hAnsi="Times New Roman" w:cs="Times New Roman"/>
              </w:rPr>
              <w:t>depopulāciju</w:t>
            </w:r>
            <w:proofErr w:type="spellEnd"/>
            <w:r w:rsidRPr="009E4DD8">
              <w:rPr>
                <w:rFonts w:ascii="Times New Roman" w:hAnsi="Times New Roman" w:cs="Times New Roman"/>
              </w:rPr>
              <w:t xml:space="preserve"> un neefektīvu Latvijas resursu izmantošanu. Turpinoties </w:t>
            </w:r>
            <w:proofErr w:type="spellStart"/>
            <w:r w:rsidRPr="009E4DD8">
              <w:rPr>
                <w:rFonts w:ascii="Times New Roman" w:hAnsi="Times New Roman" w:cs="Times New Roman"/>
              </w:rPr>
              <w:t>monocentriskai</w:t>
            </w:r>
            <w:proofErr w:type="spellEnd"/>
            <w:r w:rsidRPr="009E4DD8">
              <w:rPr>
                <w:rFonts w:ascii="Times New Roman" w:hAnsi="Times New Roman" w:cs="Times New Roman"/>
              </w:rPr>
              <w:t xml:space="preserve"> attīstībai, mazināsies konkurētspēja, jo pieaugs darba spēka un infrastruktūras izmaksas </w:t>
            </w:r>
            <w:proofErr w:type="spellStart"/>
            <w:r w:rsidRPr="009E4DD8">
              <w:rPr>
                <w:rFonts w:ascii="Times New Roman" w:hAnsi="Times New Roman" w:cs="Times New Roman"/>
              </w:rPr>
              <w:t>monocentrā</w:t>
            </w:r>
            <w:proofErr w:type="spellEnd"/>
            <w:r w:rsidRPr="009E4DD8">
              <w:rPr>
                <w:rFonts w:ascii="Times New Roman" w:hAnsi="Times New Roman" w:cs="Times New Roman"/>
              </w:rPr>
              <w:t>, bet netiks izmantotas citas izaugsmes iespējas reģionos. Būtiski atšķirīgā ekonomiskā aktivitāte, pakalpojumu pieejamība un sasniedzamība rada atšķirīgus dzīves kvalitātes standartus un attīstības iespējas teritoriju iedzīvotājiem un veicina iedzīvotāju aizplūšanu uz attīstītākajām teritorijām, kas vēl vairāk samazina mazāk attīstīto teritoriju izaugsmes iespējas.</w:t>
            </w:r>
          </w:p>
          <w:p w:rsidR="009E4DD8" w:rsidRPr="009E4DD8" w:rsidRDefault="009E4DD8" w:rsidP="009E4DD8">
            <w:pPr>
              <w:spacing w:after="160" w:line="259" w:lineRule="auto"/>
              <w:jc w:val="both"/>
              <w:rPr>
                <w:rFonts w:ascii="Times New Roman" w:hAnsi="Times New Roman" w:cs="Times New Roman"/>
              </w:rPr>
            </w:pPr>
            <w:r w:rsidRPr="009E4DD8">
              <w:rPr>
                <w:rFonts w:ascii="Times New Roman" w:hAnsi="Times New Roman" w:cs="Times New Roman"/>
              </w:rPr>
              <w:t xml:space="preserve">Latvijas līdzsvarotas attīstības veicināšanai ir būtiski sekmēt visu teritoriju straujāku attīstību un konkurētspējas pieaugumu. Ir nepieciešams meklēt jaunus reģionu attīstības veidus, tai skaitā izmantojot tās priekšrocības, ko sniedz tīkla struktūras organizācijas un attālinātas sadarbības izmantojot pieejamās un attīstot jaunas tīklošanās platformas. Tāpat ir svarīgi izmantot tās iespējas, ko sniedz sadarbības tīkli, kas savieno Latviju ar citām Eiropas un pasaules valstīm. </w:t>
            </w:r>
          </w:p>
        </w:tc>
      </w:tr>
    </w:tbl>
    <w:p w:rsidR="00D048B3" w:rsidRPr="009E4DD8" w:rsidRDefault="00D048B3" w:rsidP="009E4DD8">
      <w:pPr>
        <w:jc w:val="both"/>
        <w:rPr>
          <w:rFonts w:ascii="Times New Roman" w:hAnsi="Times New Roman" w:cs="Times New Roman"/>
        </w:rPr>
      </w:pPr>
    </w:p>
    <w:sectPr w:rsidR="00D048B3" w:rsidRPr="009E4DD8" w:rsidSect="009E4DD8">
      <w:pgSz w:w="16838" w:h="11906" w:orient="landscape"/>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ヒラギノ角ゴ Pro W3">
    <w:charset w:val="80"/>
    <w:family w:val="auto"/>
    <w:pitch w:val="variable"/>
    <w:sig w:usb0="E00002FF" w:usb1="7AC7FFFF" w:usb2="00000012" w:usb3="00000000" w:csb0="0002000D"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D6337D"/>
    <w:multiLevelType w:val="hybridMultilevel"/>
    <w:tmpl w:val="FC1A11B6"/>
    <w:lvl w:ilvl="0" w:tplc="9E42F350">
      <w:start w:val="1"/>
      <w:numFmt w:val="decimal"/>
      <w:lvlText w:val="%1)"/>
      <w:lvlJc w:val="left"/>
      <w:pPr>
        <w:ind w:left="819" w:hanging="360"/>
      </w:pPr>
      <w:rPr>
        <w:rFonts w:hint="default"/>
      </w:rPr>
    </w:lvl>
    <w:lvl w:ilvl="1" w:tplc="04260019" w:tentative="1">
      <w:start w:val="1"/>
      <w:numFmt w:val="lowerLetter"/>
      <w:lvlText w:val="%2."/>
      <w:lvlJc w:val="left"/>
      <w:pPr>
        <w:ind w:left="1539" w:hanging="360"/>
      </w:pPr>
    </w:lvl>
    <w:lvl w:ilvl="2" w:tplc="0426001B" w:tentative="1">
      <w:start w:val="1"/>
      <w:numFmt w:val="lowerRoman"/>
      <w:lvlText w:val="%3."/>
      <w:lvlJc w:val="right"/>
      <w:pPr>
        <w:ind w:left="2259" w:hanging="180"/>
      </w:pPr>
    </w:lvl>
    <w:lvl w:ilvl="3" w:tplc="0426000F" w:tentative="1">
      <w:start w:val="1"/>
      <w:numFmt w:val="decimal"/>
      <w:lvlText w:val="%4."/>
      <w:lvlJc w:val="left"/>
      <w:pPr>
        <w:ind w:left="2979" w:hanging="360"/>
      </w:pPr>
    </w:lvl>
    <w:lvl w:ilvl="4" w:tplc="04260019" w:tentative="1">
      <w:start w:val="1"/>
      <w:numFmt w:val="lowerLetter"/>
      <w:lvlText w:val="%5."/>
      <w:lvlJc w:val="left"/>
      <w:pPr>
        <w:ind w:left="3699" w:hanging="360"/>
      </w:pPr>
    </w:lvl>
    <w:lvl w:ilvl="5" w:tplc="0426001B" w:tentative="1">
      <w:start w:val="1"/>
      <w:numFmt w:val="lowerRoman"/>
      <w:lvlText w:val="%6."/>
      <w:lvlJc w:val="right"/>
      <w:pPr>
        <w:ind w:left="4419" w:hanging="180"/>
      </w:pPr>
    </w:lvl>
    <w:lvl w:ilvl="6" w:tplc="0426000F" w:tentative="1">
      <w:start w:val="1"/>
      <w:numFmt w:val="decimal"/>
      <w:lvlText w:val="%7."/>
      <w:lvlJc w:val="left"/>
      <w:pPr>
        <w:ind w:left="5139" w:hanging="360"/>
      </w:pPr>
    </w:lvl>
    <w:lvl w:ilvl="7" w:tplc="04260019" w:tentative="1">
      <w:start w:val="1"/>
      <w:numFmt w:val="lowerLetter"/>
      <w:lvlText w:val="%8."/>
      <w:lvlJc w:val="left"/>
      <w:pPr>
        <w:ind w:left="5859" w:hanging="360"/>
      </w:pPr>
    </w:lvl>
    <w:lvl w:ilvl="8" w:tplc="0426001B" w:tentative="1">
      <w:start w:val="1"/>
      <w:numFmt w:val="lowerRoman"/>
      <w:lvlText w:val="%9."/>
      <w:lvlJc w:val="right"/>
      <w:pPr>
        <w:ind w:left="657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DD8"/>
    <w:rsid w:val="00394F01"/>
    <w:rsid w:val="009E4DD8"/>
    <w:rsid w:val="00D048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00DD5F-DA0A-4648-B344-68870D606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4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7857</Words>
  <Characters>4479</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Dzērve</dc:creator>
  <cp:keywords/>
  <dc:description/>
  <cp:lastModifiedBy>Viktorija Boboviča</cp:lastModifiedBy>
  <cp:revision>2</cp:revision>
  <dcterms:created xsi:type="dcterms:W3CDTF">2021-06-17T14:24:00Z</dcterms:created>
  <dcterms:modified xsi:type="dcterms:W3CDTF">2021-06-17T14:24:00Z</dcterms:modified>
</cp:coreProperties>
</file>