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1BEDA" w14:textId="22FE4876" w:rsidR="00531ECD" w:rsidRPr="00531ECD" w:rsidRDefault="00531ECD" w:rsidP="00531ECD">
      <w:pPr>
        <w:pStyle w:val="ListParagraph"/>
        <w:ind w:left="0"/>
        <w:jc w:val="center"/>
        <w:rPr>
          <w:b/>
          <w:sz w:val="28"/>
        </w:rPr>
      </w:pPr>
      <w:r>
        <w:rPr>
          <w:b/>
          <w:sz w:val="28"/>
        </w:rPr>
        <w:t xml:space="preserve">1.1.1.3. </w:t>
      </w:r>
      <w:r w:rsidRPr="00531ECD">
        <w:rPr>
          <w:b/>
          <w:sz w:val="28"/>
        </w:rPr>
        <w:t>pasākuma “Inovāciju granti studentiem” diskusijas kopsavilkums</w:t>
      </w:r>
    </w:p>
    <w:p w14:paraId="3D0DFDB6" w14:textId="77777777" w:rsidR="00531ECD" w:rsidRDefault="00531ECD" w:rsidP="00531ECD">
      <w:pPr>
        <w:pStyle w:val="ListParagraph"/>
        <w:ind w:left="1156"/>
        <w:rPr>
          <w:b/>
          <w:sz w:val="28"/>
        </w:rPr>
      </w:pPr>
    </w:p>
    <w:p w14:paraId="102A8074" w14:textId="77777777" w:rsidR="00531ECD" w:rsidRPr="00531ECD" w:rsidRDefault="00531ECD" w:rsidP="00531ECD">
      <w:pPr>
        <w:pStyle w:val="ListParagraph"/>
        <w:ind w:left="1156"/>
        <w:rPr>
          <w:b/>
          <w:sz w:val="28"/>
        </w:rPr>
      </w:pPr>
    </w:p>
    <w:p w14:paraId="18107CB2" w14:textId="73520AE5" w:rsidR="00613E7D" w:rsidRDefault="00AE5523" w:rsidP="00531ECD">
      <w:pPr>
        <w:pStyle w:val="ListParagraph"/>
        <w:numPr>
          <w:ilvl w:val="0"/>
          <w:numId w:val="4"/>
        </w:numPr>
        <w:jc w:val="both"/>
      </w:pPr>
      <w:r>
        <w:t>1.1.1.3. pasākuma</w:t>
      </w:r>
      <w:r w:rsidR="00531ECD">
        <w:t xml:space="preserve"> “Inovāciju granti studentiem”</w:t>
      </w:r>
      <w:r>
        <w:t xml:space="preserve"> </w:t>
      </w:r>
      <w:r w:rsidR="00F61531">
        <w:t xml:space="preserve">(turpmāk – 1.1.1.3. pasākums) </w:t>
      </w:r>
      <w:r>
        <w:t xml:space="preserve">ietvaros ir atļauts plānot studiju kursu </w:t>
      </w:r>
      <w:r w:rsidR="007E005A">
        <w:t xml:space="preserve">vai </w:t>
      </w:r>
      <w:r>
        <w:t xml:space="preserve">moduļu īstenošanu gan </w:t>
      </w:r>
      <w:r w:rsidR="00E1448C">
        <w:t xml:space="preserve">plānojot </w:t>
      </w:r>
      <w:r>
        <w:t>kurs</w:t>
      </w:r>
      <w:r w:rsidR="00E1448C">
        <w:t>u vai moduli</w:t>
      </w:r>
      <w:r>
        <w:t xml:space="preserve"> esošo studiju programmu ietvaros, gan</w:t>
      </w:r>
      <w:r w:rsidR="00E1448C">
        <w:t xml:space="preserve"> </w:t>
      </w:r>
      <w:r>
        <w:t xml:space="preserve">plānojot </w:t>
      </w:r>
      <w:r w:rsidR="00E1448C">
        <w:t xml:space="preserve">tos </w:t>
      </w:r>
      <w:r>
        <w:t>kā papildus apgūstamus kursus</w:t>
      </w:r>
      <w:r w:rsidR="007E005A">
        <w:t xml:space="preserve"> ārpus programmai noteiktā kredītpunktu</w:t>
      </w:r>
      <w:r w:rsidR="00E1448C">
        <w:t xml:space="preserve"> (turpmāk – KP)</w:t>
      </w:r>
      <w:r w:rsidR="007E005A">
        <w:t xml:space="preserve"> apmēra.</w:t>
      </w:r>
      <w:r>
        <w:t xml:space="preserve"> </w:t>
      </w:r>
    </w:p>
    <w:p w14:paraId="4B8C7043" w14:textId="5C91D527" w:rsidR="00E80629" w:rsidRDefault="00761901" w:rsidP="00E80629">
      <w:pPr>
        <w:jc w:val="both"/>
      </w:pPr>
      <w:r>
        <w:t>P</w:t>
      </w:r>
      <w:r w:rsidR="00E80629">
        <w:t>iemēram, situācijā, kad studiju programmai atbilsto</w:t>
      </w:r>
      <w:r w:rsidR="00531ECD">
        <w:t xml:space="preserve">šs </w:t>
      </w:r>
      <w:r w:rsidR="00E1448C">
        <w:t xml:space="preserve">KP </w:t>
      </w:r>
      <w:r w:rsidR="00531ECD">
        <w:t xml:space="preserve">apmērs ir 160 </w:t>
      </w:r>
      <w:r w:rsidR="00E1448C">
        <w:t>KP</w:t>
      </w:r>
      <w:r w:rsidR="00E80629">
        <w:t>,</w:t>
      </w:r>
      <w:r>
        <w:t xml:space="preserve"> </w:t>
      </w:r>
      <w:r w:rsidR="00E80629">
        <w:t xml:space="preserve">pieļaujami ir abi </w:t>
      </w:r>
      <w:r w:rsidR="00E1448C">
        <w:t xml:space="preserve">šādi </w:t>
      </w:r>
      <w:r w:rsidR="00E80629">
        <w:t>varianti:</w:t>
      </w:r>
    </w:p>
    <w:p w14:paraId="65BB8BA3" w14:textId="77777777" w:rsidR="00E80629" w:rsidRDefault="00E80629" w:rsidP="00E80629">
      <w:pPr>
        <w:jc w:val="both"/>
      </w:pPr>
      <w:r>
        <w:rPr>
          <w:noProof/>
          <w:lang w:eastAsia="lv-LV"/>
        </w:rPr>
        <mc:AlternateContent>
          <mc:Choice Requires="wps">
            <w:drawing>
              <wp:anchor distT="0" distB="0" distL="114300" distR="114300" simplePos="0" relativeHeight="251661312" behindDoc="0" locked="0" layoutInCell="1" allowOverlap="1" wp14:anchorId="14847856" wp14:editId="39094652">
                <wp:simplePos x="0" y="0"/>
                <wp:positionH relativeFrom="column">
                  <wp:posOffset>2875915</wp:posOffset>
                </wp:positionH>
                <wp:positionV relativeFrom="paragraph">
                  <wp:posOffset>6350</wp:posOffset>
                </wp:positionV>
                <wp:extent cx="1762125" cy="409575"/>
                <wp:effectExtent l="0" t="0" r="28575" b="28575"/>
                <wp:wrapNone/>
                <wp:docPr id="2" name="Oval 2"/>
                <wp:cNvGraphicFramePr/>
                <a:graphic xmlns:a="http://schemas.openxmlformats.org/drawingml/2006/main">
                  <a:graphicData uri="http://schemas.microsoft.com/office/word/2010/wordprocessingShape">
                    <wps:wsp>
                      <wps:cNvSpPr/>
                      <wps:spPr>
                        <a:xfrm>
                          <a:off x="0" y="0"/>
                          <a:ext cx="1762125" cy="409575"/>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5BEB5ACD" w14:textId="77777777" w:rsidR="00E80629" w:rsidRDefault="00E80629" w:rsidP="00E80629">
                            <w:pPr>
                              <w:jc w:val="both"/>
                            </w:pPr>
                            <w:r>
                              <w:t xml:space="preserve">    160 KP + 4 KP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847856" id="Oval 2" o:spid="_x0000_s1026" style="position:absolute;left:0;text-align:left;margin-left:226.45pt;margin-top:.5pt;width:138.7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" fillcolor="#ffc000 [3207]" strokecolor="#7f5f00 [1607]" strokeweight="1pt">
                <v:stroke joinstyle="miter"/>
                <v:textbox>
                  <w:txbxContent>
                    <w:p w14:paraId="5BEB5ACD" w14:textId="77777777" w:rsidR="00E80629" w:rsidRDefault="00E80629" w:rsidP="00E80629">
                      <w:pPr>
                        <w:jc w:val="both"/>
                      </w:pPr>
                      <w:r>
                        <w:t xml:space="preserve">    160 KP + 4 KP</w:t>
                      </w:r>
                    </w:p>
                  </w:txbxContent>
                </v:textbox>
              </v:oval>
            </w:pict>
          </mc:Fallback>
        </mc:AlternateContent>
      </w:r>
      <w:r>
        <w:rPr>
          <w:noProof/>
          <w:lang w:eastAsia="lv-LV"/>
        </w:rPr>
        <mc:AlternateContent>
          <mc:Choice Requires="wps">
            <w:drawing>
              <wp:anchor distT="0" distB="0" distL="114300" distR="114300" simplePos="0" relativeHeight="251659264" behindDoc="0" locked="0" layoutInCell="1" allowOverlap="1" wp14:anchorId="33DB91C7" wp14:editId="09745EE8">
                <wp:simplePos x="0" y="0"/>
                <wp:positionH relativeFrom="column">
                  <wp:posOffset>437515</wp:posOffset>
                </wp:positionH>
                <wp:positionV relativeFrom="paragraph">
                  <wp:posOffset>6350</wp:posOffset>
                </wp:positionV>
                <wp:extent cx="1762125" cy="409575"/>
                <wp:effectExtent l="0" t="0" r="28575" b="28575"/>
                <wp:wrapNone/>
                <wp:docPr id="1" name="Oval 1"/>
                <wp:cNvGraphicFramePr/>
                <a:graphic xmlns:a="http://schemas.openxmlformats.org/drawingml/2006/main">
                  <a:graphicData uri="http://schemas.microsoft.com/office/word/2010/wordprocessingShape">
                    <wps:wsp>
                      <wps:cNvSpPr/>
                      <wps:spPr>
                        <a:xfrm>
                          <a:off x="0" y="0"/>
                          <a:ext cx="1762125" cy="409575"/>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05477D91" w14:textId="77777777" w:rsidR="00E80629" w:rsidRDefault="00E80629" w:rsidP="00E80629">
                            <w:pPr>
                              <w:jc w:val="both"/>
                            </w:pPr>
                            <w:r>
                              <w:t xml:space="preserve">    156 KP + 4 KP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DB91C7" id="Oval 1" o:spid="_x0000_s1027" style="position:absolute;left:0;text-align:left;margin-left:34.45pt;margin-top:.5pt;width:138.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" fillcolor="#ed7d31 [3205]" strokecolor="#823b0b [1605]" strokeweight="1pt">
                <v:stroke joinstyle="miter"/>
                <v:textbox>
                  <w:txbxContent>
                    <w:p w14:paraId="05477D91" w14:textId="77777777" w:rsidR="00E80629" w:rsidRDefault="00E80629" w:rsidP="00E80629">
                      <w:pPr>
                        <w:jc w:val="both"/>
                      </w:pPr>
                      <w:r>
                        <w:t xml:space="preserve">    </w:t>
                      </w:r>
                      <w:r>
                        <w:t>156 KP + 4 KP</w:t>
                      </w:r>
                    </w:p>
                  </w:txbxContent>
                </v:textbox>
              </v:oval>
            </w:pict>
          </mc:Fallback>
        </mc:AlternateContent>
      </w:r>
    </w:p>
    <w:p w14:paraId="66E8C920" w14:textId="77777777" w:rsidR="00E80629" w:rsidRDefault="00E80629" w:rsidP="00E80629">
      <w:pPr>
        <w:jc w:val="both"/>
      </w:pPr>
    </w:p>
    <w:p w14:paraId="0B78B375" w14:textId="08C60F62" w:rsidR="00E80629" w:rsidRDefault="00E80629" w:rsidP="00E80629">
      <w:pPr>
        <w:jc w:val="both"/>
      </w:pPr>
      <w:r>
        <w:t>Svarīgi ir projekta iesniegumā/Studentu inovāciju programmā skaidri definēt un parādīt, kādu pievienoto vērtību</w:t>
      </w:r>
      <w:r w:rsidR="00A44FA0">
        <w:t xml:space="preserve"> (</w:t>
      </w:r>
      <w:r w:rsidR="00A44FA0" w:rsidRPr="00A44FA0">
        <w:t>papildinātība, izsekojamība, ilgtspēja</w:t>
      </w:r>
      <w:r w:rsidR="00A44FA0">
        <w:t>)</w:t>
      </w:r>
      <w:r>
        <w:t xml:space="preserve"> sniegs projekta īstenošana, ieguldot papildus investīcijas. Projekta iesniegumā </w:t>
      </w:r>
      <w:r w:rsidR="00C427C6">
        <w:t>jānorāda</w:t>
      </w:r>
      <w:r>
        <w:t>, kādi pasākumi tiek īstenoti jau šobrīd</w:t>
      </w:r>
      <w:r w:rsidR="00C427C6">
        <w:t xml:space="preserve"> (ja attiecināms)</w:t>
      </w:r>
      <w:r>
        <w:t xml:space="preserve">, jāsniedz informācija par to, kas tiks īstenots projekta rezultātā, kā arī skaidri jāparāda, kas mainīsies. Atbilstoši projektu iesniegumu vērtēšanas kritērijam Nr.2.6.7., Studentu inovāciju programmai jābūt papildinošai augstākās izglītības iestādes citām aktivitātēm studentu inovāciju spēju un </w:t>
      </w:r>
      <w:proofErr w:type="spellStart"/>
      <w:r>
        <w:t>uzņēmējspēju</w:t>
      </w:r>
      <w:proofErr w:type="spellEnd"/>
      <w:r>
        <w:t xml:space="preserve"> attīstībai. Esošajām aktivitātēm jānodrošina pievienotā vērtība - nodrošinot pasākumu, mācīšanas un mācīšanās kvalitātes un apjoma pieaugumu, to piemērotību dažādu </w:t>
      </w:r>
      <w:r w:rsidR="00776B18">
        <w:t>mērķa grupas jauniešu un jomu vajadzībām, izmantojot jaunas metodes un prakses, iespējama arī papildus cilvēkresursu piesaiste, pieeja līdz šim nepieejamai infrastruktūrai utt.</w:t>
      </w:r>
    </w:p>
    <w:p w14:paraId="30895962" w14:textId="6164CE15" w:rsidR="00E80629" w:rsidRDefault="00776B18" w:rsidP="00E80629">
      <w:pPr>
        <w:jc w:val="both"/>
      </w:pPr>
      <w:r>
        <w:t xml:space="preserve">Jāņem vērā, ka </w:t>
      </w:r>
      <w:r w:rsidR="00761901">
        <w:t xml:space="preserve">1.1.1.3. pasākuma ietvaros ir atbalstāma nevis </w:t>
      </w:r>
      <w:r>
        <w:t>studiju kursu un moduļu izstrāde</w:t>
      </w:r>
      <w:r w:rsidR="00761901">
        <w:t xml:space="preserve">, bet gan </w:t>
      </w:r>
      <w:r>
        <w:t xml:space="preserve">šo kursu un moduļu īstenošana. Izstrādi nepieciešamības gadījumā augstākās izglītības iestādei jāfinansē no </w:t>
      </w:r>
      <w:r w:rsidR="002A0490">
        <w:t xml:space="preserve">citiem </w:t>
      </w:r>
      <w:r>
        <w:t>līdzekļ</w:t>
      </w:r>
      <w:r w:rsidR="00531ECD">
        <w:t>iem vai, ja plānots, jārealizē specifiskā atbalsta mērķa (turpmāk – SAM)</w:t>
      </w:r>
      <w:r>
        <w:t xml:space="preserve"> 8.2.3. </w:t>
      </w:r>
      <w:r w:rsidR="00531ECD">
        <w:t>“</w:t>
      </w:r>
      <w:r w:rsidR="00531ECD" w:rsidRPr="00531ECD">
        <w:t>Nodrošināt labāku pārvaldību augstākās izglītības institūcijās</w:t>
      </w:r>
      <w:r w:rsidR="00531ECD">
        <w:t xml:space="preserve">” </w:t>
      </w:r>
      <w:r>
        <w:t>ietvaros.</w:t>
      </w:r>
    </w:p>
    <w:p w14:paraId="2036E230" w14:textId="4DE0255C" w:rsidR="00487921" w:rsidRDefault="00487921" w:rsidP="00E80629">
      <w:pPr>
        <w:jc w:val="both"/>
      </w:pPr>
      <w:r>
        <w:t xml:space="preserve">Projekta iesnieguma veidlapas 6.sadaļā </w:t>
      </w:r>
      <w:r w:rsidR="00206C99">
        <w:t xml:space="preserve">“Projekta rezultātu uzturēšana un ilgtspējas nodrošināšana” </w:t>
      </w:r>
      <w:r>
        <w:t xml:space="preserve">jāapraksta darbību ilgtspējas nodrošinājums atbilstoši </w:t>
      </w:r>
      <w:r w:rsidR="00206C99">
        <w:t>1.1.1.3. pasākuma</w:t>
      </w:r>
      <w:r>
        <w:t xml:space="preserve"> M</w:t>
      </w:r>
      <w:r w:rsidR="00206C99">
        <w:t xml:space="preserve">inistru kabineta noteikumu Nr.41 (turpmāk – MKN) </w:t>
      </w:r>
      <w:r>
        <w:t>51.punktam.</w:t>
      </w:r>
    </w:p>
    <w:p w14:paraId="74902041" w14:textId="6785CE8C" w:rsidR="00487921" w:rsidRDefault="00487921" w:rsidP="00E80629">
      <w:pPr>
        <w:jc w:val="both"/>
      </w:pPr>
      <w:r>
        <w:t xml:space="preserve">Ja </w:t>
      </w:r>
      <w:r w:rsidR="00206C99">
        <w:t xml:space="preserve">augstākās izglītības iestādē (turpmāk – </w:t>
      </w:r>
      <w:r>
        <w:t>AII</w:t>
      </w:r>
      <w:r w:rsidR="00206C99">
        <w:t>)</w:t>
      </w:r>
      <w:r>
        <w:t xml:space="preserve"> jau ir dibināti biznesa inkubatori, </w:t>
      </w:r>
      <w:r w:rsidR="00F27161">
        <w:t>darbības programmā</w:t>
      </w:r>
      <w:r>
        <w:t xml:space="preserve"> </w:t>
      </w:r>
      <w:r w:rsidR="00F27161">
        <w:t>līdzīgi jāapraksta</w:t>
      </w:r>
      <w:r>
        <w:t xml:space="preserve"> </w:t>
      </w:r>
      <w:r w:rsidR="00F27161">
        <w:t>arī to attīstības pievienotā vērtība projekta rezultātā</w:t>
      </w:r>
      <w:r>
        <w:t>.</w:t>
      </w:r>
    </w:p>
    <w:p w14:paraId="58324F21" w14:textId="77777777" w:rsidR="00A46F81" w:rsidRDefault="00A46F81" w:rsidP="00531ECD">
      <w:pPr>
        <w:pStyle w:val="ListParagraph"/>
        <w:numPr>
          <w:ilvl w:val="0"/>
          <w:numId w:val="4"/>
        </w:numPr>
        <w:jc w:val="both"/>
      </w:pPr>
      <w:r>
        <w:t xml:space="preserve">Projekta iesniegumā nepieciešams sniegt informāciju par specifisko iznākuma rādītāju – studējošo un doktora grāda pretendentu skaits, kuriem pilnveidotas inovāciju un </w:t>
      </w:r>
      <w:proofErr w:type="spellStart"/>
      <w:r>
        <w:t>uzņēmējspēju</w:t>
      </w:r>
      <w:proofErr w:type="spellEnd"/>
      <w:r>
        <w:t xml:space="preserve"> kompetences (MKN 7.2.2.apakšpunkts) – divos griezumos. </w:t>
      </w:r>
    </w:p>
    <w:p w14:paraId="1D128606" w14:textId="76FD55BF" w:rsidR="00FB7596" w:rsidRDefault="00A46F81" w:rsidP="00A46F81">
      <w:pPr>
        <w:jc w:val="both"/>
      </w:pPr>
      <w:r>
        <w:t xml:space="preserve">Projekta iesnieguma 1.6.1. punktā </w:t>
      </w:r>
      <w:r w:rsidR="00206C99">
        <w:t xml:space="preserve">“Iznākuma rādītāji” </w:t>
      </w:r>
      <w:r>
        <w:t xml:space="preserve">atbilstošā rādītāja sasniedzamo vērtību norāda kā </w:t>
      </w:r>
      <w:r w:rsidR="007C237F">
        <w:t xml:space="preserve">plānoto </w:t>
      </w:r>
      <w:r>
        <w:t>unikālo studējošo skaitu, k</w:t>
      </w:r>
      <w:r w:rsidR="007C237F">
        <w:t>uri</w:t>
      </w:r>
      <w:r>
        <w:t xml:space="preserve"> iesaistī</w:t>
      </w:r>
      <w:r w:rsidR="007C237F">
        <w:t>s</w:t>
      </w:r>
      <w:r>
        <w:t xml:space="preserve">ies specifiskos inovāciju un </w:t>
      </w:r>
      <w:proofErr w:type="spellStart"/>
      <w:r>
        <w:t>uzņēmējspēju</w:t>
      </w:r>
      <w:proofErr w:type="spellEnd"/>
      <w:r>
        <w:t xml:space="preserve"> attīstības pasākumos un kompleksi attīstī</w:t>
      </w:r>
      <w:r w:rsidR="007C237F">
        <w:t>s</w:t>
      </w:r>
      <w:r>
        <w:t xml:space="preserve"> savas prasmes, piemēram, inovāciju sacensību ietvaros, </w:t>
      </w:r>
      <w:proofErr w:type="spellStart"/>
      <w:r>
        <w:t>pirmsinkubācijas</w:t>
      </w:r>
      <w:proofErr w:type="spellEnd"/>
      <w:r>
        <w:t>, inkubācijas, studiju kursu/moduļu ietvaros</w:t>
      </w:r>
      <w:r w:rsidR="005E4BBC">
        <w:t xml:space="preserve">. Savukārt </w:t>
      </w:r>
      <w:r w:rsidR="009A1F23">
        <w:t>projekta iesnieguma 1.6.1. punktā pie atbilstošā rādītāja kolonnā “Piezīmes”</w:t>
      </w:r>
      <w:r w:rsidR="005E4BBC">
        <w:t xml:space="preserve"> papildus nepieciešams sniegt informāciju arī par plānoto studējošo iesaistes reižu skaitu t.sk. studiju </w:t>
      </w:r>
      <w:r w:rsidR="005E4BBC">
        <w:lastRenderedPageBreak/>
        <w:t>kurs</w:t>
      </w:r>
      <w:r w:rsidR="000121DE">
        <w:t>os</w:t>
      </w:r>
      <w:r w:rsidR="005E4BBC">
        <w:t xml:space="preserve"> vai moduļu unikāl</w:t>
      </w:r>
      <w:r w:rsidR="000121DE">
        <w:t>aj</w:t>
      </w:r>
      <w:r w:rsidR="005E4BBC">
        <w:t>ā</w:t>
      </w:r>
      <w:r w:rsidR="000121DE">
        <w:t>s</w:t>
      </w:r>
      <w:r w:rsidR="005E4BBC">
        <w:t xml:space="preserve"> sadaļā</w:t>
      </w:r>
      <w:r w:rsidR="000121DE">
        <w:t>s</w:t>
      </w:r>
      <w:r w:rsidR="005E4BBC">
        <w:t>, pasākumu kopum</w:t>
      </w:r>
      <w:r w:rsidR="000121DE">
        <w:t>os</w:t>
      </w:r>
      <w:r w:rsidR="005E4BBC">
        <w:t>, cikl</w:t>
      </w:r>
      <w:r w:rsidR="000121DE">
        <w:t>os</w:t>
      </w:r>
      <w:r w:rsidR="005E4BBC">
        <w:t xml:space="preserve"> </w:t>
      </w:r>
      <w:proofErr w:type="spellStart"/>
      <w:r w:rsidR="005E4BBC">
        <w:t>utml</w:t>
      </w:r>
      <w:proofErr w:type="spellEnd"/>
      <w:r w:rsidR="005E4BBC">
        <w:t>. Konkrētajā skai</w:t>
      </w:r>
      <w:r w:rsidR="006F686E">
        <w:t>tā neietver vienreizēju pasākumu apmeklējumus</w:t>
      </w:r>
      <w:r w:rsidR="007C237F">
        <w:t xml:space="preserve"> (piemēram, dalīb</w:t>
      </w:r>
      <w:r w:rsidR="00783A41">
        <w:t>u</w:t>
      </w:r>
      <w:r w:rsidR="007C237F">
        <w:t xml:space="preserve"> vienā lekcijā, seminārā vai diskusijā)</w:t>
      </w:r>
      <w:r w:rsidR="006F686E">
        <w:t>.</w:t>
      </w:r>
    </w:p>
    <w:p w14:paraId="6AAC5045" w14:textId="318FED86" w:rsidR="006F686E" w:rsidRDefault="006F686E" w:rsidP="00A46F81">
      <w:pPr>
        <w:jc w:val="both"/>
      </w:pPr>
      <w:r>
        <w:t xml:space="preserve">Vēršam uzmanību, ka specifisko iznākuma rādītāju sasniedzamās vērtības norāda atbilstoši tam, kas tiek plānots, ņemot vērā augstākās izglītības iestādes rīcībā esošu informāciju. Par </w:t>
      </w:r>
      <w:r w:rsidR="00487921">
        <w:t>specifiskā</w:t>
      </w:r>
      <w:r>
        <w:t xml:space="preserve"> iznākuma rādītāja neizpildi finanšu korekcija piemērota netiek! Aicinām rādītāju vērtības norādīt reālistiskas un uz pamatotiem pieņēmumiem balstītas.</w:t>
      </w:r>
      <w:r w:rsidR="00206C99">
        <w:t xml:space="preserve"> Specifiskie iznākuma rādītāji, kas definēti MKN 7.2.1. un 7.2.2.apakšpunktos, ir sasniedzami </w:t>
      </w:r>
      <w:r w:rsidR="00994E56">
        <w:t xml:space="preserve">projekta īstenošanas laikā, savukārt rādītāju, kas definēti MKN 7.2.3. un 7.2.4.apakšpunktos, sasniegšanu iespējams plānot arī projekta </w:t>
      </w:r>
      <w:proofErr w:type="spellStart"/>
      <w:r w:rsidR="00994E56">
        <w:t>pēcuzraudzības</w:t>
      </w:r>
      <w:proofErr w:type="spellEnd"/>
      <w:r w:rsidR="00994E56">
        <w:t xml:space="preserve"> laikā, bet ne vēlāk kā līdz 2023.gada 31.decembrim.</w:t>
      </w:r>
    </w:p>
    <w:p w14:paraId="4E46E7E3" w14:textId="50D650DD" w:rsidR="00206C99" w:rsidRDefault="00451401" w:rsidP="00206C99">
      <w:pPr>
        <w:pStyle w:val="ListParagraph"/>
        <w:numPr>
          <w:ilvl w:val="0"/>
          <w:numId w:val="4"/>
        </w:numPr>
        <w:jc w:val="both"/>
      </w:pPr>
      <w:r>
        <w:t>Par projekta ietvaros plān</w:t>
      </w:r>
      <w:r w:rsidR="00994E56">
        <w:t>oto iznākuma rādītāju (MKN 7.1.</w:t>
      </w:r>
      <w:r>
        <w:t xml:space="preserve">apakšpunkts) nesasniegšanu var tikt piemērota finanšu korekcija atbilstoši </w:t>
      </w:r>
      <w:r w:rsidR="00487921">
        <w:t>Finanšu ministrijas vadlīnijām Nr.2.7 “</w:t>
      </w:r>
      <w:r w:rsidR="00487921" w:rsidRPr="00487921">
        <w:t>Vadlīnijas par finanšu korekciju piemērošanu, ziņošanu par Eiropas Savienības fondu ieviešanā konstatētajām neatbilstībām, neatbilstoši veikto izdevumu atgūšanu 2014.-2020.gada plānošanas periodā</w:t>
      </w:r>
      <w:r w:rsidR="00487921">
        <w:t>”</w:t>
      </w:r>
      <w:r>
        <w:t>, bet jāņem vērā, ka katrs gadījums tiek izvērtēts</w:t>
      </w:r>
      <w:r w:rsidR="00A85889">
        <w:t xml:space="preserve"> individuāli</w:t>
      </w:r>
      <w:r>
        <w:t xml:space="preserve"> un tiek ņemti vērā rādītāja nesasniegšanas iemesli un darbības, kas jau preventīvi veiktas, lai pēc iespējas novērstu neizpildes riskus.</w:t>
      </w:r>
    </w:p>
    <w:p w14:paraId="0FF96936" w14:textId="77777777" w:rsidR="00451401" w:rsidRDefault="00451401" w:rsidP="00451401">
      <w:pPr>
        <w:pStyle w:val="ListParagraph"/>
        <w:jc w:val="both"/>
      </w:pPr>
    </w:p>
    <w:p w14:paraId="6E45E932" w14:textId="1303E7FB" w:rsidR="006F686E" w:rsidRDefault="004A0843" w:rsidP="00531ECD">
      <w:pPr>
        <w:pStyle w:val="ListParagraph"/>
        <w:numPr>
          <w:ilvl w:val="0"/>
          <w:numId w:val="4"/>
        </w:numPr>
        <w:jc w:val="both"/>
      </w:pPr>
      <w:r>
        <w:t>A</w:t>
      </w:r>
      <w:r w:rsidR="00346C5F">
        <w:t xml:space="preserve">tbilstoši MKN 11.punktam 25 procentus no projekta kopējā attiecināmā finansējuma veido privātais līdzfinansējums. </w:t>
      </w:r>
    </w:p>
    <w:p w14:paraId="0B10264B" w14:textId="17E73B4A" w:rsidR="00487921" w:rsidRDefault="00346C5F" w:rsidP="00346C5F">
      <w:pPr>
        <w:jc w:val="both"/>
      </w:pPr>
      <w:r>
        <w:t xml:space="preserve">Privātajā līdzfinansējumā nevar </w:t>
      </w:r>
      <w:r w:rsidR="008A30C0">
        <w:t xml:space="preserve">ieskaitīt </w:t>
      </w:r>
      <w:r w:rsidR="00994E56">
        <w:t>AII</w:t>
      </w:r>
      <w:r>
        <w:t xml:space="preserve"> ieņēmumus no studiju maksām, ņemot vērā, ka izglītības īstenošana pēc būtības ir ar saimniecisku darbību nesaistīta aktivitāte.</w:t>
      </w:r>
      <w:r w:rsidR="0084397F">
        <w:t xml:space="preserve"> </w:t>
      </w:r>
      <w:r w:rsidR="00994E56">
        <w:t>AII</w:t>
      </w:r>
      <w:r w:rsidR="0084397F">
        <w:t xml:space="preserve"> privātais finansējums var būt gūts no līgumdarbu izpildes, telpu un infrastruktūras īres, ieņēmumiem no dienesta viesnīcām utt. </w:t>
      </w:r>
    </w:p>
    <w:p w14:paraId="0599B9EE" w14:textId="77777777" w:rsidR="007D1942" w:rsidRDefault="0084397F" w:rsidP="00531ECD">
      <w:pPr>
        <w:pStyle w:val="ListParagraph"/>
        <w:numPr>
          <w:ilvl w:val="0"/>
          <w:numId w:val="4"/>
        </w:numPr>
        <w:jc w:val="both"/>
      </w:pPr>
      <w:r>
        <w:t xml:space="preserve">Nemateriālie aktīvi kā ieguldījums natūrā atbilstoši MKN nav iekļaujami projekta ietvaros attiecināmās natūras apjomā.  </w:t>
      </w:r>
    </w:p>
    <w:p w14:paraId="757E9927" w14:textId="55AB8C4B" w:rsidR="0084397F" w:rsidRDefault="0084397F" w:rsidP="007D1942">
      <w:pPr>
        <w:jc w:val="both"/>
      </w:pPr>
      <w:r w:rsidRPr="0084397F">
        <w:t xml:space="preserve">Saskaņā ar MKN </w:t>
      </w:r>
      <w:r w:rsidR="007D1942">
        <w:t>42.</w:t>
      </w:r>
      <w:r w:rsidRPr="0084397F">
        <w:t>punktu ieguldījumi natūrā 1.1.1.3. pasākuma projektos var būt pamatlīdzekļi  - tehnoloģiskā</w:t>
      </w:r>
      <w:r w:rsidR="00F82A77">
        <w:t>s</w:t>
      </w:r>
      <w:r w:rsidRPr="0084397F">
        <w:t xml:space="preserve"> iekārt</w:t>
      </w:r>
      <w:r w:rsidR="00F82A77">
        <w:t>as</w:t>
      </w:r>
      <w:r w:rsidRPr="0084397F">
        <w:t xml:space="preserve">  un materiāli. Ja finansējuma saņēmējs ir iegādājies par privātiem līdzekļiem vai tam ir ziedotas licences, un, ja atbilstoši L</w:t>
      </w:r>
      <w:r w:rsidR="00994E56">
        <w:t xml:space="preserve">atvijas </w:t>
      </w:r>
      <w:r w:rsidRPr="0084397F">
        <w:t>R</w:t>
      </w:r>
      <w:r w:rsidR="00994E56">
        <w:t>epublikas</w:t>
      </w:r>
      <w:r w:rsidRPr="0084397F">
        <w:t xml:space="preserve"> likumdošanas aktiem par grāmatvedību un institūcijas iekšējiem normatīviem, tās ir iekļautas pamatlīdzekļa – tehnoloģijas iekārtas</w:t>
      </w:r>
      <w:r w:rsidR="00783A41">
        <w:t>,</w:t>
      </w:r>
      <w:r w:rsidRPr="0084397F">
        <w:t xml:space="preserve"> vērtībā ar atbilstošu lietošanas laiku, kā arī licences līgums atļauj šādas darbības, ieguldījumi natūrā var būt attiecinām</w:t>
      </w:r>
      <w:r w:rsidR="00F82A77">
        <w:t>i</w:t>
      </w:r>
      <w:r w:rsidRPr="0084397F">
        <w:t xml:space="preserve"> no projekta līdzekļiem.</w:t>
      </w:r>
    </w:p>
    <w:p w14:paraId="14C66821" w14:textId="77777777" w:rsidR="00487921" w:rsidRDefault="00487921" w:rsidP="007D1942">
      <w:pPr>
        <w:jc w:val="both"/>
      </w:pPr>
      <w:r>
        <w:t>Vēršam uzmanību, ka vispārējie fondu uzraudzības principi natūrā ļauj ieguldīt tikai tādus materiālus aktīvus, par kuriem nav saņemts nekāds publisks atbalsts.</w:t>
      </w:r>
    </w:p>
    <w:p w14:paraId="1A957050" w14:textId="62EE742E" w:rsidR="007D1942" w:rsidRDefault="007D1942" w:rsidP="00531ECD">
      <w:pPr>
        <w:pStyle w:val="ListParagraph"/>
        <w:numPr>
          <w:ilvl w:val="0"/>
          <w:numId w:val="4"/>
        </w:numPr>
        <w:spacing w:after="0"/>
        <w:jc w:val="both"/>
      </w:pPr>
      <w:r>
        <w:t xml:space="preserve">Komersantu līdzfinansējums (ziedojums, mērķmaksājums) ir uzņēmuma “ieejas biļete” </w:t>
      </w:r>
      <w:r w:rsidR="00F82A77">
        <w:t xml:space="preserve">studentu </w:t>
      </w:r>
      <w:r>
        <w:t xml:space="preserve">inovāciju programmā, </w:t>
      </w:r>
      <w:r w:rsidR="00381615">
        <w:t xml:space="preserve">taču </w:t>
      </w:r>
      <w:r>
        <w:t>tas nav maksājums par</w:t>
      </w:r>
      <w:r w:rsidR="00381615">
        <w:t xml:space="preserve"> rezultātu, kas iespējams radīsies projekta ietvaros.</w:t>
      </w:r>
    </w:p>
    <w:p w14:paraId="72027AFC" w14:textId="77777777" w:rsidR="007D1942" w:rsidRDefault="007D1942" w:rsidP="007D1942">
      <w:pPr>
        <w:pStyle w:val="ListParagraph"/>
        <w:spacing w:after="0"/>
        <w:jc w:val="both"/>
      </w:pPr>
    </w:p>
    <w:p w14:paraId="64351227" w14:textId="77777777" w:rsidR="007D1942" w:rsidRDefault="007D1942" w:rsidP="007D1942">
      <w:pPr>
        <w:spacing w:after="0"/>
        <w:jc w:val="both"/>
      </w:pPr>
      <w:r w:rsidRPr="005D4C3C">
        <w:t>Atbilstoši MKN 18</w:t>
      </w:r>
      <w:r>
        <w:t>.</w:t>
      </w:r>
      <w:r w:rsidRPr="005D4C3C">
        <w:t>punktam finansējuma saņēmējam ar sadarbības 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pasūtītāja finansētiem projektiem. Līdz ar to komersants var noteikt sava ieguldījuma izlietošanas mērķi</w:t>
      </w:r>
      <w:r>
        <w:t xml:space="preserve">, konkrētu pētījumu tematisko sadaļu vai problēmu, kuras </w:t>
      </w:r>
      <w:r>
        <w:lastRenderedPageBreak/>
        <w:t xml:space="preserve">risināšanai finansējums tiek piešķirts, </w:t>
      </w:r>
      <w:r w:rsidRPr="005D4C3C">
        <w:t xml:space="preserve">taču projektā izstrādātā rezultāta īpašumtiesības piederēs AII un komersants attiecīgās intelektuālā īpašuma tiesības varēs iegūt, atklātā pārdošanas procedūrā sniedzot kompensāciju atbilstošu tirgus cenai par intelektuālā īpašuma tiesībām. </w:t>
      </w:r>
    </w:p>
    <w:p w14:paraId="63063EB4" w14:textId="77777777" w:rsidR="00451401" w:rsidRDefault="00451401" w:rsidP="007D1942">
      <w:pPr>
        <w:spacing w:after="0"/>
        <w:jc w:val="both"/>
      </w:pPr>
    </w:p>
    <w:p w14:paraId="01A065BF" w14:textId="70EC0444" w:rsidR="003F1CC8" w:rsidRDefault="003F1CC8" w:rsidP="00531ECD">
      <w:pPr>
        <w:pStyle w:val="ListParagraph"/>
        <w:numPr>
          <w:ilvl w:val="0"/>
          <w:numId w:val="4"/>
        </w:numPr>
        <w:jc w:val="both"/>
      </w:pPr>
      <w:r>
        <w:t xml:space="preserve">Studentu inovāciju programmas ietvaros stipendiju izmaksas </w:t>
      </w:r>
      <w:r w:rsidR="00B95257">
        <w:t xml:space="preserve">kārtība un apjoms </w:t>
      </w:r>
      <w:r>
        <w:t xml:space="preserve">ir </w:t>
      </w:r>
      <w:r w:rsidR="00994E56">
        <w:t>AII</w:t>
      </w:r>
      <w:r>
        <w:t xml:space="preserve"> kompetence. </w:t>
      </w:r>
    </w:p>
    <w:p w14:paraId="016C0883" w14:textId="7622CB99" w:rsidR="00346C5F" w:rsidRDefault="00994E56" w:rsidP="003F1CC8">
      <w:pPr>
        <w:jc w:val="both"/>
      </w:pPr>
      <w:r>
        <w:t>AII</w:t>
      </w:r>
      <w:r w:rsidR="003F1CC8">
        <w:t xml:space="preserve"> nosaka, par kādām darbībām un kādā apjomā studējošajiem un doktora grāda pretendentiem tiek izmaksātas stipendijas. Vēršam uzmanību, ka MKN 32.2.1.</w:t>
      </w:r>
      <w:r>
        <w:t xml:space="preserve">apakšpunktā </w:t>
      </w:r>
      <w:r w:rsidR="003F1CC8">
        <w:t xml:space="preserve"> noteiktie stipendiju izmaksu ierobežojumi ir attiecināmi uz projekta tiešajām izmaksām. Stipendiju apmēru iespējams palielināt, papildus apmēru sedzot no privātajām netiešajām izmaksām. Minētajai kārtībai </w:t>
      </w:r>
      <w:r w:rsidR="00783A41">
        <w:t>ir jāatrodas finansējuma saņēmēja izstrādātajā</w:t>
      </w:r>
      <w:r w:rsidR="003F1CC8">
        <w:t xml:space="preserve"> stipendiju izmaksu kārtības dokumentācijā</w:t>
      </w:r>
      <w:r w:rsidR="00487921">
        <w:t xml:space="preserve"> un</w:t>
      </w:r>
      <w:r w:rsidR="00163D51">
        <w:t xml:space="preserve"> privātajām netiešajām izmaksām</w:t>
      </w:r>
      <w:r w:rsidR="00487921">
        <w:t xml:space="preserve"> atbilstoši jāparādās projekta iesnieguma 2.pielikumā </w:t>
      </w:r>
      <w:r>
        <w:t>“Finansēšanas plāns”</w:t>
      </w:r>
      <w:r w:rsidR="003F1CC8">
        <w:t>.</w:t>
      </w:r>
      <w:r w:rsidR="00487921">
        <w:t xml:space="preserve"> </w:t>
      </w:r>
    </w:p>
    <w:p w14:paraId="288F3EF1" w14:textId="6E5AD8EF" w:rsidR="003F1CC8" w:rsidRDefault="003F1CC8" w:rsidP="00531ECD">
      <w:pPr>
        <w:pStyle w:val="ListParagraph"/>
        <w:numPr>
          <w:ilvl w:val="0"/>
          <w:numId w:val="4"/>
        </w:numPr>
        <w:jc w:val="both"/>
      </w:pPr>
      <w:r>
        <w:t>Projekta ietvaros privātais attiecināmais finansējums veido vi</w:t>
      </w:r>
      <w:r w:rsidR="00994E56">
        <w:t>smaz 25 procentus</w:t>
      </w:r>
      <w:r>
        <w:t xml:space="preserve"> no projekta tiešajām attiecināmajām izmaksām. Minēto līdzfinansējumu vismaz </w:t>
      </w:r>
      <w:r w:rsidR="00994E56">
        <w:br/>
      </w:r>
      <w:r>
        <w:t xml:space="preserve">100 000 </w:t>
      </w:r>
      <w:proofErr w:type="spellStart"/>
      <w:r>
        <w:t>euro</w:t>
      </w:r>
      <w:proofErr w:type="spellEnd"/>
      <w:r>
        <w:t xml:space="preserve"> apmērā veido</w:t>
      </w:r>
      <w:r w:rsidR="00163D51">
        <w:t xml:space="preserve"> finansējums no MKN 41.punktā noteiktajiem</w:t>
      </w:r>
      <w:r>
        <w:t xml:space="preserve"> avoti</w:t>
      </w:r>
      <w:r w:rsidR="00163D51">
        <w:t>em</w:t>
      </w:r>
      <w:r>
        <w:t xml:space="preserve">. </w:t>
      </w:r>
    </w:p>
    <w:p w14:paraId="1A6E6F1E" w14:textId="6FCF6FE1" w:rsidR="003F1CC8" w:rsidRDefault="00A875E5" w:rsidP="003F1CC8">
      <w:pPr>
        <w:jc w:val="both"/>
      </w:pPr>
      <w:r w:rsidRPr="00291433">
        <w:t>Arī š</w:t>
      </w:r>
      <w:r w:rsidR="003F1CC8" w:rsidRPr="00291433">
        <w:t xml:space="preserve">ajā </w:t>
      </w:r>
      <w:r w:rsidR="0088717E" w:rsidRPr="00291433">
        <w:t xml:space="preserve">privātā finansējuma daļā </w:t>
      </w:r>
      <w:r w:rsidR="003F1CC8" w:rsidRPr="00291433">
        <w:t xml:space="preserve">– vismaz 100 000 </w:t>
      </w:r>
      <w:proofErr w:type="spellStart"/>
      <w:r w:rsidR="003F1CC8" w:rsidRPr="00291433">
        <w:t>euro</w:t>
      </w:r>
      <w:proofErr w:type="spellEnd"/>
      <w:r w:rsidR="003F1CC8" w:rsidRPr="00291433">
        <w:t xml:space="preserve"> - netiek ietvertas privātās neattiecināmās izmaksas.</w:t>
      </w:r>
      <w:r w:rsidR="003F1CC8">
        <w:t xml:space="preserve"> Savukārt projekta iesnieguma 1.6.1.punktā iznākuma rādītājā – privātās investīcijas, kas papildina valsts atbalstu inovācijām vai pētniecības un izstrādes projektiem – norāda visas projekta ietvaros piesaistītās privātās investīcijas, t.sk. arī privātās neattiecināmās izmaksas. </w:t>
      </w:r>
      <w:r w:rsidR="00487921">
        <w:t>Rādītāja vērtībai jāsakrīt ar projekta iesnieguma 2. pielikumā “Finansēšanas plāns” norādītajam privātā finansējuma apjomam (attiecināmajam un neattiecināmajam)</w:t>
      </w:r>
      <w:r w:rsidR="00163D51">
        <w:t>.</w:t>
      </w:r>
    </w:p>
    <w:p w14:paraId="0447774D" w14:textId="0D1F3222" w:rsidR="00BE7160" w:rsidRDefault="00BE7160" w:rsidP="00F0504D">
      <w:pPr>
        <w:pStyle w:val="ListParagraph"/>
        <w:numPr>
          <w:ilvl w:val="0"/>
          <w:numId w:val="4"/>
        </w:numPr>
        <w:jc w:val="both"/>
      </w:pPr>
      <w:r>
        <w:t>L</w:t>
      </w:r>
      <w:r w:rsidRPr="00BE7160">
        <w:t xml:space="preserve">ai apliecinātu atbilstību MKN 43.punktam – ka ar inovāciju fonda finansējumu pietiek vismaz pirmās studentu inovāciju pieteikumu kārtas īstenošanai </w:t>
      </w:r>
      <w:r>
        <w:t>– projekta iesniedzējs</w:t>
      </w:r>
      <w:r w:rsidR="008A1F7D">
        <w:t xml:space="preserve"> uz projekta iesnieguma iesniegšanas brīdi</w:t>
      </w:r>
      <w:r w:rsidRPr="00BE7160">
        <w:t xml:space="preserve"> var iesniegt konta izrakstu</w:t>
      </w:r>
      <w:r w:rsidR="009E52A7">
        <w:t xml:space="preserve"> vai apliecinājuma dokumentu, ņemot vērā to, ka konta izraksts par minēto līdzekļu esamību būs jāiesniedz līdz līguma/vienošanās slēgšanai</w:t>
      </w:r>
      <w:r>
        <w:t>.</w:t>
      </w:r>
      <w:r w:rsidRPr="00BE7160">
        <w:t xml:space="preserve"> </w:t>
      </w:r>
      <w:r w:rsidR="00F0504D">
        <w:t xml:space="preserve"> Jāņem vērā, ka </w:t>
      </w:r>
      <w:r w:rsidR="00F0504D" w:rsidRPr="00F0504D">
        <w:t xml:space="preserve">līdz dienai, kad tiek noslēgta vienošanās vai līgums par projekta īstenošanu, finansējuma saņēmēja projekta kontā </w:t>
      </w:r>
      <w:r w:rsidR="00F0504D">
        <w:t>ir jā</w:t>
      </w:r>
      <w:r w:rsidR="00F0504D" w:rsidRPr="00F0504D">
        <w:t>atrodas ne mazāk kā 33-50% no kopējā privātā līdzfinansējuma apjoma</w:t>
      </w:r>
      <w:r w:rsidR="00F0504D">
        <w:t xml:space="preserve">. </w:t>
      </w:r>
    </w:p>
    <w:p w14:paraId="44B86A96" w14:textId="4CF836C7" w:rsidR="00000510" w:rsidRDefault="00BE7160" w:rsidP="008F4B82">
      <w:pPr>
        <w:jc w:val="both"/>
      </w:pPr>
      <w:r>
        <w:t>Tai pat laikā jāņem</w:t>
      </w:r>
      <w:r w:rsidRPr="00BE7160">
        <w:t xml:space="preserve"> vērā, ka, atbilstoši MKN 41.punktam, privātais līdzfinansējums vismaz </w:t>
      </w:r>
      <w:r w:rsidR="00531ECD">
        <w:br/>
      </w:r>
      <w:r w:rsidRPr="00BE7160">
        <w:t xml:space="preserve">100 000 </w:t>
      </w:r>
      <w:proofErr w:type="spellStart"/>
      <w:r w:rsidRPr="00BE7160">
        <w:t>euro</w:t>
      </w:r>
      <w:proofErr w:type="spellEnd"/>
      <w:r w:rsidRPr="00BE7160">
        <w:t xml:space="preserve"> apmērā </w:t>
      </w:r>
      <w:r w:rsidR="00F0504D">
        <w:t>var tikt nodrošināts</w:t>
      </w:r>
      <w:r w:rsidR="00F0504D" w:rsidRPr="00BE7160">
        <w:t xml:space="preserve"> </w:t>
      </w:r>
      <w:r w:rsidRPr="00BE7160">
        <w:t xml:space="preserve">no </w:t>
      </w:r>
      <w:r w:rsidR="00F0504D">
        <w:t>vairākiem</w:t>
      </w:r>
      <w:r w:rsidR="00F0504D" w:rsidRPr="00BE7160">
        <w:t xml:space="preserve"> </w:t>
      </w:r>
      <w:r w:rsidRPr="00BE7160">
        <w:t xml:space="preserve">avotiem, </w:t>
      </w:r>
      <w:r w:rsidR="00F0504D">
        <w:t>līdz ar to</w:t>
      </w:r>
      <w:r w:rsidR="00F0504D" w:rsidRPr="00BE7160">
        <w:t xml:space="preserve"> </w:t>
      </w:r>
      <w:r w:rsidRPr="00BE7160">
        <w:t xml:space="preserve">papildus būs nepieciešama </w:t>
      </w:r>
      <w:r>
        <w:t xml:space="preserve">arī </w:t>
      </w:r>
      <w:r w:rsidRPr="00BE7160">
        <w:t xml:space="preserve">dokumentācija, kas apliecina plānotā privātā finansējuma avotus vismaz 100 000 </w:t>
      </w:r>
      <w:proofErr w:type="spellStart"/>
      <w:r w:rsidRPr="00BE7160">
        <w:t>euro</w:t>
      </w:r>
      <w:proofErr w:type="spellEnd"/>
      <w:r w:rsidRPr="00BE7160">
        <w:t xml:space="preserve"> apmērā </w:t>
      </w:r>
      <w:r w:rsidR="00F0504D">
        <w:t xml:space="preserve">no citiem </w:t>
      </w:r>
      <w:r w:rsidR="00646FEB">
        <w:t>MKN</w:t>
      </w:r>
      <w:r w:rsidRPr="00BE7160">
        <w:t xml:space="preserve"> 41.punktā minētajiem avotiem.</w:t>
      </w:r>
      <w:r>
        <w:t xml:space="preserve"> Apliecinājuma dokumenti var būt dažādu formātu, piemēram, apliecinātas vēstules, nodomu protokoli, b</w:t>
      </w:r>
      <w:r w:rsidR="00401E58">
        <w:t xml:space="preserve">rīvas formas apliecinājumi </w:t>
      </w:r>
      <w:proofErr w:type="spellStart"/>
      <w:r w:rsidR="00401E58">
        <w:t>utml</w:t>
      </w:r>
      <w:proofErr w:type="spellEnd"/>
      <w:r w:rsidR="00401E58">
        <w:t>.</w:t>
      </w:r>
      <w:r w:rsidR="00E00299" w:rsidRPr="00E00299">
        <w:t xml:space="preserve"> </w:t>
      </w:r>
      <w:r w:rsidR="00E00299">
        <w:t>Finansējuma saņēmējam jāiesniedz apliecinājumi, kas apliecina 100</w:t>
      </w:r>
      <w:r w:rsidR="00531ECD">
        <w:t> </w:t>
      </w:r>
      <w:r w:rsidR="00E00299">
        <w:t>000</w:t>
      </w:r>
      <w:r w:rsidR="00531ECD">
        <w:t xml:space="preserve"> </w:t>
      </w:r>
      <w:proofErr w:type="spellStart"/>
      <w:r w:rsidR="00531ECD">
        <w:t>euro</w:t>
      </w:r>
      <w:proofErr w:type="spellEnd"/>
      <w:r w:rsidR="00E00299">
        <w:t xml:space="preserve"> esamību, taču projekta kopējais budžets var būt lielāks – uz projekta iesniegšanas brīdi nav nepieciešams apliecināt visa privātā finansējuma 25</w:t>
      </w:r>
      <w:r w:rsidR="00646FEB">
        <w:t xml:space="preserve"> procentu</w:t>
      </w:r>
      <w:r w:rsidR="00E00299">
        <w:t xml:space="preserve"> apmērā pieejamību.</w:t>
      </w:r>
      <w:bookmarkStart w:id="0" w:name="_GoBack"/>
      <w:bookmarkEnd w:id="0"/>
    </w:p>
    <w:sectPr w:rsidR="000005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A57C5"/>
    <w:multiLevelType w:val="multilevel"/>
    <w:tmpl w:val="E730C2E2"/>
    <w:lvl w:ilvl="0">
      <w:start w:val="1"/>
      <w:numFmt w:val="decimal"/>
      <w:lvlText w:val="%1."/>
      <w:lvlJc w:val="left"/>
      <w:pPr>
        <w:ind w:left="436" w:hanging="360"/>
      </w:pPr>
    </w:lvl>
    <w:lvl w:ilvl="1">
      <w:start w:val="1"/>
      <w:numFmt w:val="decimal"/>
      <w:isLgl/>
      <w:lvlText w:val="%1.%2."/>
      <w:lvlJc w:val="left"/>
      <w:pPr>
        <w:ind w:left="1036" w:hanging="960"/>
      </w:pPr>
      <w:rPr>
        <w:rFonts w:hint="default"/>
      </w:rPr>
    </w:lvl>
    <w:lvl w:ilvl="2">
      <w:start w:val="1"/>
      <w:numFmt w:val="decimal"/>
      <w:isLgl/>
      <w:lvlText w:val="%1.%2.%3."/>
      <w:lvlJc w:val="left"/>
      <w:pPr>
        <w:ind w:left="1036" w:hanging="960"/>
      </w:pPr>
      <w:rPr>
        <w:rFonts w:hint="default"/>
      </w:rPr>
    </w:lvl>
    <w:lvl w:ilvl="3">
      <w:start w:val="3"/>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876" w:hanging="180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2236" w:hanging="2160"/>
      </w:pPr>
      <w:rPr>
        <w:rFonts w:hint="default"/>
      </w:rPr>
    </w:lvl>
  </w:abstractNum>
  <w:abstractNum w:abstractNumId="1" w15:restartNumberingAfterBreak="0">
    <w:nsid w:val="288E1A91"/>
    <w:multiLevelType w:val="hybridMultilevel"/>
    <w:tmpl w:val="EA4AC0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E32540B"/>
    <w:multiLevelType w:val="hybridMultilevel"/>
    <w:tmpl w:val="C686AA3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791692"/>
    <w:multiLevelType w:val="multilevel"/>
    <w:tmpl w:val="E730C2E2"/>
    <w:lvl w:ilvl="0">
      <w:start w:val="1"/>
      <w:numFmt w:val="decimal"/>
      <w:lvlText w:val="%1."/>
      <w:lvlJc w:val="left"/>
      <w:pPr>
        <w:ind w:left="436" w:hanging="360"/>
      </w:pPr>
    </w:lvl>
    <w:lvl w:ilvl="1">
      <w:start w:val="1"/>
      <w:numFmt w:val="decimal"/>
      <w:isLgl/>
      <w:lvlText w:val="%1.%2."/>
      <w:lvlJc w:val="left"/>
      <w:pPr>
        <w:ind w:left="1036" w:hanging="960"/>
      </w:pPr>
      <w:rPr>
        <w:rFonts w:hint="default"/>
      </w:rPr>
    </w:lvl>
    <w:lvl w:ilvl="2">
      <w:start w:val="1"/>
      <w:numFmt w:val="decimal"/>
      <w:isLgl/>
      <w:lvlText w:val="%1.%2.%3."/>
      <w:lvlJc w:val="left"/>
      <w:pPr>
        <w:ind w:left="1036" w:hanging="960"/>
      </w:pPr>
      <w:rPr>
        <w:rFonts w:hint="default"/>
      </w:rPr>
    </w:lvl>
    <w:lvl w:ilvl="3">
      <w:start w:val="3"/>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876" w:hanging="180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2236" w:hanging="2160"/>
      </w:pPr>
      <w:rPr>
        <w:rFonts w:hint="default"/>
      </w:rPr>
    </w:lvl>
  </w:abstractNum>
  <w:abstractNum w:abstractNumId="4" w15:restartNumberingAfterBreak="0">
    <w:nsid w:val="498D7C50"/>
    <w:multiLevelType w:val="multilevel"/>
    <w:tmpl w:val="E730C2E2"/>
    <w:lvl w:ilvl="0">
      <w:start w:val="1"/>
      <w:numFmt w:val="decimal"/>
      <w:lvlText w:val="%1."/>
      <w:lvlJc w:val="left"/>
      <w:pPr>
        <w:ind w:left="436" w:hanging="360"/>
      </w:pPr>
    </w:lvl>
    <w:lvl w:ilvl="1">
      <w:start w:val="1"/>
      <w:numFmt w:val="decimal"/>
      <w:isLgl/>
      <w:lvlText w:val="%1.%2."/>
      <w:lvlJc w:val="left"/>
      <w:pPr>
        <w:ind w:left="1036" w:hanging="960"/>
      </w:pPr>
      <w:rPr>
        <w:rFonts w:hint="default"/>
      </w:rPr>
    </w:lvl>
    <w:lvl w:ilvl="2">
      <w:start w:val="1"/>
      <w:numFmt w:val="decimal"/>
      <w:isLgl/>
      <w:lvlText w:val="%1.%2.%3."/>
      <w:lvlJc w:val="left"/>
      <w:pPr>
        <w:ind w:left="1036" w:hanging="960"/>
      </w:pPr>
      <w:rPr>
        <w:rFonts w:hint="default"/>
      </w:rPr>
    </w:lvl>
    <w:lvl w:ilvl="3">
      <w:start w:val="3"/>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876" w:hanging="180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2236" w:hanging="2160"/>
      </w:pPr>
      <w:rPr>
        <w:rFonts w:hint="default"/>
      </w:rPr>
    </w:lvl>
  </w:abstractNum>
  <w:abstractNum w:abstractNumId="5" w15:restartNumberingAfterBreak="0">
    <w:nsid w:val="76A908B5"/>
    <w:multiLevelType w:val="hybridMultilevel"/>
    <w:tmpl w:val="280A4B42"/>
    <w:lvl w:ilvl="0" w:tplc="97ECAB88">
      <w:start w:val="15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85B"/>
    <w:rsid w:val="00000510"/>
    <w:rsid w:val="000121DE"/>
    <w:rsid w:val="0003050B"/>
    <w:rsid w:val="000468AF"/>
    <w:rsid w:val="00075293"/>
    <w:rsid w:val="00150F68"/>
    <w:rsid w:val="00163D51"/>
    <w:rsid w:val="001729AE"/>
    <w:rsid w:val="00206C99"/>
    <w:rsid w:val="00220E5E"/>
    <w:rsid w:val="00291433"/>
    <w:rsid w:val="002A0490"/>
    <w:rsid w:val="00346C5F"/>
    <w:rsid w:val="00381615"/>
    <w:rsid w:val="003F1CC8"/>
    <w:rsid w:val="00401E58"/>
    <w:rsid w:val="00451401"/>
    <w:rsid w:val="00482EFC"/>
    <w:rsid w:val="00487921"/>
    <w:rsid w:val="00491574"/>
    <w:rsid w:val="004A0843"/>
    <w:rsid w:val="004C1E89"/>
    <w:rsid w:val="004D30FA"/>
    <w:rsid w:val="00531ECD"/>
    <w:rsid w:val="00544DAA"/>
    <w:rsid w:val="00551761"/>
    <w:rsid w:val="00574022"/>
    <w:rsid w:val="005D48F0"/>
    <w:rsid w:val="005E2A84"/>
    <w:rsid w:val="005E4BBC"/>
    <w:rsid w:val="00613E7D"/>
    <w:rsid w:val="00646FEB"/>
    <w:rsid w:val="006A1ED2"/>
    <w:rsid w:val="006F686E"/>
    <w:rsid w:val="00761901"/>
    <w:rsid w:val="00776B18"/>
    <w:rsid w:val="00783A41"/>
    <w:rsid w:val="007C237F"/>
    <w:rsid w:val="007D1942"/>
    <w:rsid w:val="007E005A"/>
    <w:rsid w:val="0084397F"/>
    <w:rsid w:val="0088717E"/>
    <w:rsid w:val="00897DD8"/>
    <w:rsid w:val="008A1F7D"/>
    <w:rsid w:val="008A30C0"/>
    <w:rsid w:val="008F4B82"/>
    <w:rsid w:val="009128A5"/>
    <w:rsid w:val="0093339C"/>
    <w:rsid w:val="00980384"/>
    <w:rsid w:val="00994E56"/>
    <w:rsid w:val="009A1F23"/>
    <w:rsid w:val="009A2DBE"/>
    <w:rsid w:val="009E52A7"/>
    <w:rsid w:val="00A23099"/>
    <w:rsid w:val="00A44FA0"/>
    <w:rsid w:val="00A46F81"/>
    <w:rsid w:val="00A85889"/>
    <w:rsid w:val="00A875E5"/>
    <w:rsid w:val="00A95018"/>
    <w:rsid w:val="00AE5523"/>
    <w:rsid w:val="00B21C05"/>
    <w:rsid w:val="00B37C73"/>
    <w:rsid w:val="00B95257"/>
    <w:rsid w:val="00BA59AF"/>
    <w:rsid w:val="00BE7160"/>
    <w:rsid w:val="00C0385B"/>
    <w:rsid w:val="00C427C6"/>
    <w:rsid w:val="00C55C01"/>
    <w:rsid w:val="00C903D6"/>
    <w:rsid w:val="00C94E11"/>
    <w:rsid w:val="00D82EA4"/>
    <w:rsid w:val="00DB2369"/>
    <w:rsid w:val="00DF6AB7"/>
    <w:rsid w:val="00E00299"/>
    <w:rsid w:val="00E1448C"/>
    <w:rsid w:val="00E80629"/>
    <w:rsid w:val="00F0504D"/>
    <w:rsid w:val="00F27161"/>
    <w:rsid w:val="00F61531"/>
    <w:rsid w:val="00F82A77"/>
    <w:rsid w:val="00FB75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D02B4"/>
  <w15:chartTrackingRefBased/>
  <w15:docId w15:val="{DCE98366-2F3A-440E-B765-32BCB19E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C01"/>
    <w:pPr>
      <w:ind w:left="720"/>
      <w:contextualSpacing/>
    </w:pPr>
  </w:style>
  <w:style w:type="character" w:styleId="CommentReference">
    <w:name w:val="annotation reference"/>
    <w:basedOn w:val="DefaultParagraphFont"/>
    <w:uiPriority w:val="99"/>
    <w:semiHidden/>
    <w:unhideWhenUsed/>
    <w:rsid w:val="00487921"/>
    <w:rPr>
      <w:sz w:val="16"/>
      <w:szCs w:val="16"/>
    </w:rPr>
  </w:style>
  <w:style w:type="paragraph" w:styleId="CommentText">
    <w:name w:val="annotation text"/>
    <w:basedOn w:val="Normal"/>
    <w:link w:val="CommentTextChar"/>
    <w:uiPriority w:val="99"/>
    <w:semiHidden/>
    <w:unhideWhenUsed/>
    <w:rsid w:val="00487921"/>
    <w:pPr>
      <w:spacing w:line="240" w:lineRule="auto"/>
    </w:pPr>
    <w:rPr>
      <w:sz w:val="20"/>
      <w:szCs w:val="20"/>
    </w:rPr>
  </w:style>
  <w:style w:type="character" w:customStyle="1" w:styleId="CommentTextChar">
    <w:name w:val="Comment Text Char"/>
    <w:basedOn w:val="DefaultParagraphFont"/>
    <w:link w:val="CommentText"/>
    <w:uiPriority w:val="99"/>
    <w:semiHidden/>
    <w:rsid w:val="00487921"/>
    <w:rPr>
      <w:sz w:val="20"/>
      <w:szCs w:val="20"/>
    </w:rPr>
  </w:style>
  <w:style w:type="paragraph" w:styleId="CommentSubject">
    <w:name w:val="annotation subject"/>
    <w:basedOn w:val="CommentText"/>
    <w:next w:val="CommentText"/>
    <w:link w:val="CommentSubjectChar"/>
    <w:uiPriority w:val="99"/>
    <w:semiHidden/>
    <w:unhideWhenUsed/>
    <w:rsid w:val="00487921"/>
    <w:rPr>
      <w:b/>
      <w:bCs/>
    </w:rPr>
  </w:style>
  <w:style w:type="character" w:customStyle="1" w:styleId="CommentSubjectChar">
    <w:name w:val="Comment Subject Char"/>
    <w:basedOn w:val="CommentTextChar"/>
    <w:link w:val="CommentSubject"/>
    <w:uiPriority w:val="99"/>
    <w:semiHidden/>
    <w:rsid w:val="00487921"/>
    <w:rPr>
      <w:b/>
      <w:bCs/>
      <w:sz w:val="20"/>
      <w:szCs w:val="20"/>
    </w:rPr>
  </w:style>
  <w:style w:type="paragraph" w:styleId="BalloonText">
    <w:name w:val="Balloon Text"/>
    <w:basedOn w:val="Normal"/>
    <w:link w:val="BalloonTextChar"/>
    <w:uiPriority w:val="99"/>
    <w:semiHidden/>
    <w:unhideWhenUsed/>
    <w:rsid w:val="00487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41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6011</Words>
  <Characters>3427</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Dzērve</dc:creator>
  <cp:keywords/>
  <dc:description/>
  <cp:lastModifiedBy>Antra Dzērve</cp:lastModifiedBy>
  <cp:revision>3</cp:revision>
  <dcterms:created xsi:type="dcterms:W3CDTF">2018-12-10T11:32:00Z</dcterms:created>
  <dcterms:modified xsi:type="dcterms:W3CDTF">2018-12-10T11:32:00Z</dcterms:modified>
</cp:coreProperties>
</file>