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897" w:rsidRPr="00B7028F" w:rsidRDefault="001F2897" w:rsidP="00B7028F">
      <w:pPr>
        <w:pStyle w:val="ListParagraph"/>
        <w:numPr>
          <w:ilvl w:val="0"/>
          <w:numId w:val="4"/>
        </w:numPr>
        <w:jc w:val="both"/>
        <w:rPr>
          <w:rFonts w:ascii="Times New Roman" w:hAnsi="Times New Roman"/>
          <w:sz w:val="24"/>
          <w:szCs w:val="24"/>
        </w:rPr>
      </w:pPr>
      <w:r w:rsidRPr="00B7028F">
        <w:rPr>
          <w:rFonts w:ascii="Times New Roman" w:hAnsi="Times New Roman"/>
          <w:sz w:val="24"/>
          <w:szCs w:val="24"/>
        </w:rPr>
        <w:t xml:space="preserve">MK 562. noteikumu 47.punkts un nolikuma Finanšu nosacījumi: vai interpretējam pareizi, ka jaunā funkcionālā vienība drīkstēs veikt nesaimniecisku darbību un saimniecisku darbību, ja saimnieciskā darbība nepārsniegs 20% no attiecīgās vienības gada apgrozījuma? Kas ir domāts ar jēdzienu “ar saimniecisko darbību nesaistītā projekta daļa” - apgrozījuma %, vienības noslodzes %, cits? </w:t>
      </w:r>
    </w:p>
    <w:p w:rsidR="00B7028F" w:rsidRPr="00B7028F" w:rsidRDefault="00B7028F" w:rsidP="00B7028F">
      <w:pPr>
        <w:pStyle w:val="ListParagraph"/>
        <w:jc w:val="both"/>
        <w:rPr>
          <w:rFonts w:ascii="Times New Roman" w:hAnsi="Times New Roman"/>
          <w:sz w:val="24"/>
          <w:szCs w:val="24"/>
        </w:rPr>
      </w:pPr>
    </w:p>
    <w:p w:rsidR="001F2897" w:rsidRPr="00B7028F" w:rsidRDefault="001F2897" w:rsidP="001F2897">
      <w:pPr>
        <w:ind w:left="567"/>
        <w:jc w:val="both"/>
        <w:rPr>
          <w:i/>
        </w:rPr>
      </w:pPr>
      <w:r w:rsidRPr="00B7028F">
        <w:rPr>
          <w:i/>
        </w:rPr>
        <w:t>Jā, Ministru kabineta noteikumu Nr. 562 47. punkts tika saprasts pareizi. Ja 1.1.1.4. pasākuma ietvaros tiks iesniegts ar saimniecisku darbību nesaistīts projekts, tad stājas spēkā MK noteikumu Nr. 562 47. punktā noteiktais nosacījums par to, ka “projekta īstenošanas laikā un piecus gadus pēc noslēguma maksājuma veikšanas finansējuma saņēmēja institūcijā un jaunajā funkcionālajā vienībā saimnieciskajai pamatdarbībai piešķirtā finansiālā kapacitāte nepārsniedz 20 procentus no attiecīgās struktūras kopējās gada finansiālās kapacitātes.”</w:t>
      </w:r>
    </w:p>
    <w:p w:rsidR="001F2897" w:rsidRPr="00B7028F" w:rsidRDefault="001F2897" w:rsidP="001F2897">
      <w:pPr>
        <w:ind w:left="567"/>
        <w:jc w:val="both"/>
        <w:rPr>
          <w:i/>
        </w:rPr>
      </w:pPr>
      <w:r w:rsidRPr="00B7028F">
        <w:rPr>
          <w:i/>
        </w:rPr>
        <w:t xml:space="preserve">Gadījumā, ja infrastruktūra tiek galvenokārt izmantota nesaimnieciskajai darbībai, valsts atbalsta noteikumi uz to var vispār neattiekties ar nosacījumu, ka konkrētajai funkcijai nepieciešamajā infrastruktūrā īstenotā saimnieciskā darbība ir apmērā ierobežota un vienīgi papildinoša, tas ir, šī darbība ir tieši saistīta ar infrastruktūras ekspluatāciju un tai nepieciešama vai nesaraujami saistīta ar tās galveno nesaimniecisko izmantojumu. </w:t>
      </w:r>
    </w:p>
    <w:p w:rsidR="001F2897" w:rsidRPr="00B7028F" w:rsidRDefault="001F2897" w:rsidP="001F2897">
      <w:pPr>
        <w:ind w:left="567"/>
        <w:jc w:val="both"/>
        <w:rPr>
          <w:i/>
        </w:rPr>
      </w:pPr>
      <w:r w:rsidRPr="00B7028F">
        <w:rPr>
          <w:i/>
        </w:rPr>
        <w:t xml:space="preserve">Līdz ar to vienam projektam var būt vairākas daļas, kas var dalīties pēc to darbības veida – ar saimniecisku darbību saistītas vai nesaistītas. </w:t>
      </w:r>
    </w:p>
    <w:p w:rsidR="001F2897" w:rsidRDefault="001F2897" w:rsidP="001F2897">
      <w:pPr>
        <w:jc w:val="both"/>
      </w:pPr>
    </w:p>
    <w:p w:rsidR="001F2897" w:rsidRPr="00B7028F" w:rsidRDefault="001F2897" w:rsidP="00B7028F">
      <w:pPr>
        <w:pStyle w:val="ListParagraph"/>
        <w:numPr>
          <w:ilvl w:val="0"/>
          <w:numId w:val="4"/>
        </w:numPr>
        <w:jc w:val="both"/>
        <w:rPr>
          <w:rFonts w:ascii="Times New Roman" w:hAnsi="Times New Roman"/>
          <w:sz w:val="24"/>
          <w:szCs w:val="24"/>
        </w:rPr>
      </w:pPr>
      <w:r w:rsidRPr="00B7028F">
        <w:rPr>
          <w:rFonts w:ascii="Times New Roman" w:hAnsi="Times New Roman"/>
          <w:sz w:val="24"/>
          <w:szCs w:val="24"/>
        </w:rPr>
        <w:t>Kas tiek saprasts ar jēdzienu “gada finansiālā kapacitāte?” (MK not. 47.punkts)</w:t>
      </w:r>
    </w:p>
    <w:p w:rsidR="00B7028F" w:rsidRPr="00B7028F" w:rsidRDefault="00B7028F" w:rsidP="00B7028F">
      <w:pPr>
        <w:pStyle w:val="ListParagraph"/>
        <w:jc w:val="both"/>
        <w:rPr>
          <w:sz w:val="24"/>
          <w:szCs w:val="24"/>
        </w:rPr>
      </w:pPr>
    </w:p>
    <w:p w:rsidR="001F2897" w:rsidRPr="00B7028F" w:rsidRDefault="001F2897" w:rsidP="001F2897">
      <w:pPr>
        <w:ind w:left="567"/>
        <w:jc w:val="both"/>
        <w:rPr>
          <w:i/>
        </w:rPr>
      </w:pPr>
      <w:r w:rsidRPr="00B7028F">
        <w:rPr>
          <w:i/>
        </w:rPr>
        <w:t xml:space="preserve">Ar šo terminu tiek saprasts institūcijas gada finansiālais apgrozījums saskaņā ar ikgadējiem apgrozījuma pārskatiem. </w:t>
      </w:r>
    </w:p>
    <w:p w:rsidR="001F2897" w:rsidRDefault="001F2897" w:rsidP="001F2897">
      <w:pPr>
        <w:jc w:val="both"/>
      </w:pPr>
    </w:p>
    <w:p w:rsidR="001F2897" w:rsidRPr="00B7028F" w:rsidRDefault="001F2897" w:rsidP="00B7028F">
      <w:pPr>
        <w:pStyle w:val="ListParagraph"/>
        <w:numPr>
          <w:ilvl w:val="0"/>
          <w:numId w:val="4"/>
        </w:numPr>
        <w:jc w:val="both"/>
        <w:rPr>
          <w:rFonts w:ascii="Times New Roman" w:hAnsi="Times New Roman"/>
          <w:sz w:val="24"/>
          <w:szCs w:val="24"/>
        </w:rPr>
      </w:pPr>
      <w:r w:rsidRPr="00B7028F">
        <w:rPr>
          <w:rFonts w:ascii="Times New Roman" w:hAnsi="Times New Roman"/>
          <w:sz w:val="24"/>
          <w:szCs w:val="24"/>
        </w:rPr>
        <w:t>Lūgums skaidrot kombinēta atbalsta projekta būtību (V</w:t>
      </w:r>
      <w:r w:rsidR="00DD77C5">
        <w:rPr>
          <w:rFonts w:ascii="Times New Roman" w:hAnsi="Times New Roman"/>
          <w:sz w:val="24"/>
          <w:szCs w:val="24"/>
        </w:rPr>
        <w:t>.</w:t>
      </w:r>
      <w:bookmarkStart w:id="0" w:name="_GoBack"/>
      <w:bookmarkEnd w:id="0"/>
      <w:r w:rsidRPr="00B7028F">
        <w:rPr>
          <w:rFonts w:ascii="Times New Roman" w:hAnsi="Times New Roman"/>
          <w:sz w:val="24"/>
          <w:szCs w:val="24"/>
        </w:rPr>
        <w:t>nodaļa). Vai tas ir projekts, kura ietvaros tiek plānota gan saimnieciska, gan nesaimnieciska darbība? Vai arī tas ir projekts, kurā zinātniska institūcija sadarbojas ar komersantiem, ar mērķi izveidot infrastruktūru, ko izmantos gan zinātniskā institūcija, gan komersants(i)?</w:t>
      </w:r>
    </w:p>
    <w:p w:rsidR="00B7028F" w:rsidRPr="00B7028F" w:rsidRDefault="00B7028F" w:rsidP="00B7028F">
      <w:pPr>
        <w:pStyle w:val="ListParagraph"/>
        <w:jc w:val="both"/>
        <w:rPr>
          <w:rFonts w:ascii="Times New Roman" w:hAnsi="Times New Roman"/>
          <w:sz w:val="24"/>
          <w:szCs w:val="24"/>
        </w:rPr>
      </w:pPr>
    </w:p>
    <w:p w:rsidR="001F2897" w:rsidRPr="00B7028F" w:rsidRDefault="001F2897" w:rsidP="001F2897">
      <w:pPr>
        <w:ind w:left="567"/>
        <w:jc w:val="both"/>
        <w:rPr>
          <w:i/>
        </w:rPr>
      </w:pPr>
      <w:r w:rsidRPr="00B7028F">
        <w:rPr>
          <w:i/>
        </w:rPr>
        <w:t xml:space="preserve">Kombinēta atbalsta projekts ir projekts, kurā tiek īstenotas gan ar saimniecisku darbību saistītas, gan ar saimniecisku darbību nesaistītas darbības. To var nodalīt projekta daļās, īstenojot apakšprojektus (atbilstoši Ministru kabineta noteikumu Nr. 562 2.1. apakšpunktam). Ja tiek īstenots projekts, kas iekļauj vienīgi ar saimniecisku darbību nesaistītas darbības (var īstenot individuāli vai sadarbībā ar partneri), tad tas nav uzskatāms par kombinēta atbalsta projektu un tādā gadījumā var neveidot apakšprojektus. </w:t>
      </w:r>
    </w:p>
    <w:p w:rsidR="001F2897" w:rsidRPr="00B7028F" w:rsidRDefault="001F2897" w:rsidP="001F2897">
      <w:pPr>
        <w:ind w:left="567"/>
        <w:jc w:val="both"/>
        <w:rPr>
          <w:i/>
        </w:rPr>
      </w:pPr>
      <w:r w:rsidRPr="00B7028F">
        <w:rPr>
          <w:i/>
        </w:rPr>
        <w:t xml:space="preserve">Abas šīs projekta daļas (gan ar saimniecisku darbību saistītas, gan ar saimniecisku darbību nesaistītas darbības) finansējuma saņēmējs var īstenot individuāli vai sadarbībā ar partneri (citu zinātnisko institūciju vai komersantu). </w:t>
      </w:r>
    </w:p>
    <w:p w:rsidR="001F2897" w:rsidRPr="00B7028F" w:rsidRDefault="001F2897" w:rsidP="001F2897">
      <w:pPr>
        <w:ind w:left="567"/>
        <w:jc w:val="both"/>
        <w:rPr>
          <w:i/>
        </w:rPr>
      </w:pPr>
      <w:r w:rsidRPr="00B7028F">
        <w:rPr>
          <w:i/>
        </w:rPr>
        <w:t xml:space="preserve">Ja tiek īstenots kombinēta atbalsta projekts, tad tā katrai daļai tiek attiecināta atsevišķa publiskā finansējuma intensitāte, ko nosaka atbilstoši Ministru kabineta noteikumu Nr. 562 53. punktam un 2.  un 3. pielikumam. </w:t>
      </w:r>
    </w:p>
    <w:p w:rsidR="001F2897" w:rsidRPr="00B7028F" w:rsidRDefault="001F2897" w:rsidP="001F2897">
      <w:pPr>
        <w:ind w:left="567"/>
        <w:jc w:val="both"/>
        <w:rPr>
          <w:i/>
        </w:rPr>
      </w:pPr>
      <w:r w:rsidRPr="00B7028F">
        <w:rPr>
          <w:i/>
        </w:rPr>
        <w:t>1.1.1.4.pasākuma kritēriju piemērošanas metodikā pie 1.9.kritērija ir sniegta kombinēta atbalsta projekta definīcija.</w:t>
      </w:r>
    </w:p>
    <w:p w:rsidR="00B7028F" w:rsidRDefault="00B7028F" w:rsidP="00B7028F">
      <w:pPr>
        <w:ind w:firstLine="360"/>
        <w:jc w:val="both"/>
        <w:rPr>
          <w:rFonts w:ascii="Times New Roman" w:hAnsi="Times New Roman"/>
          <w:b/>
          <w:bCs/>
          <w:i/>
          <w:iCs/>
        </w:rPr>
      </w:pPr>
      <w:r>
        <w:rPr>
          <w:rFonts w:ascii="Times New Roman" w:hAnsi="Times New Roman"/>
          <w:b/>
          <w:bCs/>
          <w:i/>
          <w:iCs/>
        </w:rPr>
        <w:t xml:space="preserve"> </w:t>
      </w:r>
    </w:p>
    <w:p w:rsidR="00B7028F" w:rsidRDefault="00B7028F" w:rsidP="00B7028F">
      <w:pPr>
        <w:ind w:firstLine="567"/>
        <w:jc w:val="both"/>
        <w:rPr>
          <w:rFonts w:ascii="Times New Roman" w:hAnsi="Times New Roman"/>
          <w:b/>
          <w:bCs/>
          <w:i/>
          <w:iCs/>
        </w:rPr>
      </w:pPr>
    </w:p>
    <w:p w:rsidR="001F2897" w:rsidRPr="00B7028F" w:rsidRDefault="001F2897" w:rsidP="00B7028F">
      <w:pPr>
        <w:ind w:firstLine="567"/>
        <w:jc w:val="both"/>
        <w:rPr>
          <w:rFonts w:ascii="Times New Roman" w:hAnsi="Times New Roman"/>
          <w:i/>
          <w:iCs/>
        </w:rPr>
      </w:pPr>
      <w:r w:rsidRPr="00B7028F">
        <w:rPr>
          <w:rFonts w:ascii="Times New Roman" w:hAnsi="Times New Roman"/>
          <w:b/>
          <w:bCs/>
          <w:i/>
          <w:iCs/>
        </w:rPr>
        <w:lastRenderedPageBreak/>
        <w:t>Definīcija:</w:t>
      </w:r>
      <w:r w:rsidRPr="00B7028F">
        <w:rPr>
          <w:rFonts w:ascii="Times New Roman" w:hAnsi="Times New Roman"/>
          <w:i/>
        </w:rPr>
        <w:t xml:space="preserve"> </w:t>
      </w:r>
      <w:r w:rsidRPr="00B7028F">
        <w:rPr>
          <w:rFonts w:ascii="Times New Roman" w:hAnsi="Times New Roman"/>
          <w:i/>
          <w:iCs/>
        </w:rPr>
        <w:t>Kombinēta atbalsta projekts ir projekts, kas atbilst šādiem kritērijiem:</w:t>
      </w:r>
    </w:p>
    <w:p w:rsidR="001F2897" w:rsidRPr="00B7028F" w:rsidRDefault="001F2897" w:rsidP="001F2897">
      <w:pPr>
        <w:pStyle w:val="ListParagraph"/>
        <w:numPr>
          <w:ilvl w:val="0"/>
          <w:numId w:val="1"/>
        </w:numPr>
        <w:jc w:val="both"/>
        <w:rPr>
          <w:rFonts w:ascii="Times New Roman" w:hAnsi="Times New Roman"/>
          <w:i/>
          <w:iCs/>
        </w:rPr>
      </w:pPr>
      <w:r w:rsidRPr="00B7028F">
        <w:rPr>
          <w:i/>
          <w:iCs/>
        </w:rPr>
        <w:t>vidējā svērtā ar saimniecisko darbību nesaistītā projekta daļa NPD% &lt; 80 % (saimnieciskajai daļai piemērojami Komisijas regulas Nr. 651/2014 nosacījumi);</w:t>
      </w:r>
    </w:p>
    <w:p w:rsidR="001F2897" w:rsidRPr="00B7028F" w:rsidRDefault="001F2897" w:rsidP="001F2897">
      <w:pPr>
        <w:pStyle w:val="ListParagraph"/>
        <w:numPr>
          <w:ilvl w:val="0"/>
          <w:numId w:val="2"/>
        </w:numPr>
        <w:jc w:val="both"/>
        <w:rPr>
          <w:i/>
          <w:iCs/>
        </w:rPr>
      </w:pPr>
      <w:r w:rsidRPr="00B7028F">
        <w:rPr>
          <w:i/>
          <w:iCs/>
        </w:rPr>
        <w:t>ieguldījumus plānots izmantot ar saimniecisku darbību nesaistītā pamatdarbībā un saimnieciskajā pamatdarbībā;</w:t>
      </w:r>
    </w:p>
    <w:p w:rsidR="001F2897" w:rsidRPr="00B7028F" w:rsidRDefault="001F2897" w:rsidP="001F2897">
      <w:pPr>
        <w:pStyle w:val="ListParagraph"/>
        <w:numPr>
          <w:ilvl w:val="0"/>
          <w:numId w:val="2"/>
        </w:numPr>
        <w:jc w:val="both"/>
        <w:rPr>
          <w:i/>
          <w:iCs/>
        </w:rPr>
      </w:pPr>
      <w:r w:rsidRPr="00B7028F">
        <w:rPr>
          <w:i/>
          <w:iCs/>
        </w:rPr>
        <w:t>projekta iesniedzējs un sadarbības partneris (ja attiecināms), kas atbilst pētniecības organizācijas definīcijai nodala:</w:t>
      </w:r>
    </w:p>
    <w:p w:rsidR="001F2897" w:rsidRPr="00B7028F" w:rsidRDefault="001F2897" w:rsidP="001F2897">
      <w:pPr>
        <w:pStyle w:val="ListParagraph"/>
        <w:numPr>
          <w:ilvl w:val="1"/>
          <w:numId w:val="3"/>
        </w:numPr>
        <w:jc w:val="both"/>
        <w:rPr>
          <w:i/>
          <w:iCs/>
        </w:rPr>
      </w:pPr>
      <w:r w:rsidRPr="00B7028F">
        <w:rPr>
          <w:i/>
          <w:iCs/>
        </w:rPr>
        <w:t>ar saimniecisku darbību nesaistītās pamatdarbības (un ar tām saistītās finanšu plūsmas) no saimnieciskajām pamatdarbībām;</w:t>
      </w:r>
    </w:p>
    <w:p w:rsidR="001F2897" w:rsidRPr="00B7028F" w:rsidRDefault="001F2897" w:rsidP="001F2897">
      <w:pPr>
        <w:pStyle w:val="ListParagraph"/>
        <w:numPr>
          <w:ilvl w:val="1"/>
          <w:numId w:val="3"/>
        </w:numPr>
        <w:ind w:left="1434" w:hanging="357"/>
        <w:jc w:val="both"/>
        <w:rPr>
          <w:i/>
        </w:rPr>
      </w:pPr>
      <w:r w:rsidRPr="00B7028F">
        <w:rPr>
          <w:i/>
          <w:iCs/>
        </w:rPr>
        <w:t>pamatdarbības un ar tām saistītās finanšu plūsmas no pārējām zinātniskās institūcijas darbībām un ar tām saistītajām finanšu plūsmām.</w:t>
      </w:r>
    </w:p>
    <w:p w:rsidR="001F2897" w:rsidRDefault="001F2897" w:rsidP="001F2897"/>
    <w:p w:rsidR="00C90375" w:rsidRPr="00B7028F" w:rsidRDefault="001F2897" w:rsidP="0047667B">
      <w:pPr>
        <w:jc w:val="both"/>
        <w:rPr>
          <w:rFonts w:ascii="Times New Roman" w:hAnsi="Times New Roman"/>
          <w:sz w:val="24"/>
          <w:szCs w:val="24"/>
        </w:rPr>
      </w:pPr>
      <w:r w:rsidRPr="00B7028F">
        <w:rPr>
          <w:rFonts w:ascii="Times New Roman" w:hAnsi="Times New Roman"/>
          <w:sz w:val="24"/>
          <w:szCs w:val="24"/>
        </w:rPr>
        <w:t xml:space="preserve">Paldies IZM par atbalstu </w:t>
      </w:r>
      <w:r w:rsidR="0047667B" w:rsidRPr="00B7028F">
        <w:rPr>
          <w:rFonts w:ascii="Times New Roman" w:hAnsi="Times New Roman"/>
          <w:sz w:val="24"/>
          <w:szCs w:val="24"/>
        </w:rPr>
        <w:t xml:space="preserve">Ministru kabineta noteikumu Nr. 562 skaidrošanā un </w:t>
      </w:r>
      <w:r w:rsidRPr="00B7028F">
        <w:rPr>
          <w:rFonts w:ascii="Times New Roman" w:hAnsi="Times New Roman"/>
          <w:sz w:val="24"/>
          <w:szCs w:val="24"/>
        </w:rPr>
        <w:t>šo atbilžu sagatavošanā!</w:t>
      </w:r>
    </w:p>
    <w:sectPr w:rsidR="00C90375" w:rsidRPr="00B702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auto"/>
    <w:pitch w:val="default"/>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73F11"/>
    <w:multiLevelType w:val="hybridMultilevel"/>
    <w:tmpl w:val="8CCAC8C2"/>
    <w:lvl w:ilvl="0" w:tplc="99062182">
      <w:start w:val="1"/>
      <w:numFmt w:val="bullet"/>
      <w:lvlText w:val=""/>
      <w:lvlJc w:val="left"/>
      <w:pPr>
        <w:ind w:left="720" w:hanging="360"/>
      </w:pPr>
      <w:rPr>
        <w:rFonts w:ascii="Symbol" w:hAnsi="Symbol" w:hint="default"/>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0C83DDF"/>
    <w:multiLevelType w:val="hybridMultilevel"/>
    <w:tmpl w:val="EFE0FDBC"/>
    <w:lvl w:ilvl="0" w:tplc="99062182">
      <w:start w:val="1"/>
      <w:numFmt w:val="bullet"/>
      <w:lvlText w:val=""/>
      <w:lvlJc w:val="left"/>
      <w:pPr>
        <w:ind w:left="720" w:hanging="360"/>
      </w:pPr>
      <w:rPr>
        <w:rFonts w:ascii="Symbol" w:hAnsi="Symbol" w:hint="default"/>
        <w:sz w:val="22"/>
        <w:szCs w:val="22"/>
      </w:rPr>
    </w:lvl>
    <w:lvl w:ilvl="1" w:tplc="259AF76C">
      <w:start w:val="21"/>
      <w:numFmt w:val="bullet"/>
      <w:lvlText w:val="-"/>
      <w:lvlJc w:val="left"/>
      <w:pPr>
        <w:ind w:left="1440" w:hanging="360"/>
      </w:pPr>
      <w:rPr>
        <w:rFonts w:ascii="Times New Roman" w:eastAsia="ヒラギノ角ゴ Pro W3"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6D90723E"/>
    <w:multiLevelType w:val="hybridMultilevel"/>
    <w:tmpl w:val="28B898A2"/>
    <w:lvl w:ilvl="0" w:tplc="99062182">
      <w:start w:val="1"/>
      <w:numFmt w:val="bullet"/>
      <w:lvlText w:val=""/>
      <w:lvlJc w:val="left"/>
      <w:pPr>
        <w:ind w:left="720" w:hanging="360"/>
      </w:pPr>
      <w:rPr>
        <w:rFonts w:ascii="Symbol" w:hAnsi="Symbol" w:hint="default"/>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759B11D4"/>
    <w:multiLevelType w:val="hybridMultilevel"/>
    <w:tmpl w:val="1DDCF8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AE"/>
    <w:rsid w:val="001F2897"/>
    <w:rsid w:val="0047667B"/>
    <w:rsid w:val="009F41AE"/>
    <w:rsid w:val="00B7028F"/>
    <w:rsid w:val="00C90375"/>
    <w:rsid w:val="00DD77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6CC8E-41C6-49DF-BFEC-08994FE0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8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amp;P List Paragraph Char,2 Char,Strip Char,Saraksta rindkopa Char,Colorful List - Accent 12 Char,List Paragraph1 Char,List1 Char,Akapit z listą BS Char"/>
    <w:basedOn w:val="DefaultParagraphFont"/>
    <w:link w:val="ListParagraph"/>
    <w:locked/>
    <w:rsid w:val="001F2897"/>
  </w:style>
  <w:style w:type="paragraph" w:styleId="ListParagraph">
    <w:name w:val="List Paragraph"/>
    <w:aliases w:val="H&amp;P List Paragraph,2,Strip,Saraksta rindkopa,Colorful List - Accent 12,List Paragraph1,List1,Akapit z listą BS"/>
    <w:basedOn w:val="Normal"/>
    <w:link w:val="ListParagraphChar"/>
    <w:qFormat/>
    <w:rsid w:val="001F2897"/>
    <w:pPr>
      <w:ind w:left="720"/>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31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7C0520D6</Template>
  <TotalTime>9</TotalTime>
  <Pages>2</Pages>
  <Words>2528</Words>
  <Characters>1441</Characters>
  <Application>Microsoft Office Word</Application>
  <DocSecurity>0</DocSecurity>
  <Lines>12</Lines>
  <Paragraphs>7</Paragraphs>
  <ScaleCrop>false</ScaleCrop>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Šantare</dc:creator>
  <cp:keywords/>
  <dc:description/>
  <cp:lastModifiedBy>Dace Šantare</cp:lastModifiedBy>
  <cp:revision>6</cp:revision>
  <dcterms:created xsi:type="dcterms:W3CDTF">2017-05-22T12:04:00Z</dcterms:created>
  <dcterms:modified xsi:type="dcterms:W3CDTF">2017-05-22T12:18:00Z</dcterms:modified>
</cp:coreProperties>
</file>