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EF8" w:rsidRPr="00070EF8" w:rsidRDefault="00070EF8" w:rsidP="00070EF8">
      <w:pPr>
        <w:spacing w:after="0" w:line="240" w:lineRule="auto"/>
        <w:jc w:val="right"/>
        <w:rPr>
          <w:rFonts w:ascii="Times New Roman" w:hAnsi="Times New Roman" w:cs="Times New Roman"/>
          <w:i/>
          <w:sz w:val="20"/>
          <w:szCs w:val="20"/>
        </w:rPr>
      </w:pPr>
      <w:r w:rsidRPr="00070EF8">
        <w:rPr>
          <w:rFonts w:ascii="Times New Roman" w:hAnsi="Times New Roman" w:cs="Times New Roman"/>
          <w:i/>
          <w:sz w:val="20"/>
          <w:szCs w:val="20"/>
        </w:rPr>
        <w:t>Sagatavots 26.10.2018</w:t>
      </w: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Times New Roman" w:hAnsi="Times New Roman" w:cs="Times New Roman"/>
          <w:b/>
        </w:rPr>
      </w:pPr>
      <w:r w:rsidRPr="00070EF8">
        <w:rPr>
          <w:rFonts w:ascii="Times New Roman" w:hAnsi="Times New Roman" w:cs="Times New Roman"/>
          <w:b/>
        </w:rPr>
        <w:t>Jautājums:</w:t>
      </w: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070EF8">
        <w:rPr>
          <w:rFonts w:ascii="Times New Roman" w:hAnsi="Times New Roman" w:cs="Times New Roman"/>
        </w:rPr>
        <w:t>Kā tiks vērtēts 3.kvalitātes kritērijs “projekta gatavība”, ja ir apzinātas pētniecības projektu idejas par 70% no finansējuma? Vienlaikus KC ir apzināti atstājis 30% no finansējuma nesadalītu, lai varētu uzņemt jaunus pētījumus?</w:t>
      </w: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Times New Roman" w:hAnsi="Times New Roman" w:cs="Times New Roman"/>
          <w:b/>
        </w:rPr>
      </w:pPr>
      <w:r w:rsidRPr="00070EF8">
        <w:rPr>
          <w:rFonts w:ascii="Times New Roman" w:hAnsi="Times New Roman" w:cs="Times New Roman"/>
          <w:b/>
        </w:rPr>
        <w:t xml:space="preserve">Atbilde: </w:t>
      </w: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070EF8">
        <w:rPr>
          <w:rFonts w:ascii="Times New Roman" w:hAnsi="Times New Roman" w:cs="Times New Roman"/>
        </w:rPr>
        <w:t>Lai veicinātu kompetences centra atvērtību jaunām pētniecības projektu idejām, kā arī ņemot vērā to, ka kompetences centrs ir apzinājis pētniecības projektu idejas par lielāko daļu no finansējuma, kompetences centrs var atstāt 30% no finansējuma nesadalītu un 3.kvalitātes kritērijā saņemt maksimālo punktu skaitu 30 punktus. Lai saņemtu maksimālo punktu sakaitu 3.kvalitātes kritēriju pēc šajā kritērijā iekļauto nosacījumu ievērošanas, kompetences centram nav nepieciešamas sadalīt visu pieejamo ERAF līdzfinansējumu.</w:t>
      </w:r>
    </w:p>
    <w:p w:rsidR="00070EF8" w:rsidRPr="00070EF8" w:rsidRDefault="00070EF8" w:rsidP="00070EF8">
      <w:pPr>
        <w:spacing w:after="0" w:line="240" w:lineRule="auto"/>
        <w:rPr>
          <w:rFonts w:ascii="Times New Roman" w:hAnsi="Times New Roman" w:cs="Times New Roman"/>
          <w:b/>
        </w:rPr>
      </w:pP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Times New Roman" w:hAnsi="Times New Roman" w:cs="Times New Roman"/>
          <w:b/>
        </w:rPr>
      </w:pPr>
      <w:r w:rsidRPr="00070EF8">
        <w:rPr>
          <w:rFonts w:ascii="Times New Roman" w:hAnsi="Times New Roman" w:cs="Times New Roman"/>
          <w:b/>
        </w:rPr>
        <w:t>Jautājums:</w:t>
      </w: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070EF8">
        <w:rPr>
          <w:rFonts w:ascii="Times New Roman" w:hAnsi="Times New Roman" w:cs="Times New Roman"/>
        </w:rPr>
        <w:t xml:space="preserve">Nolikuma punkts 12.8 paredz, ka jāiesniedz </w:t>
      </w:r>
      <w:r w:rsidRPr="00070EF8">
        <w:rPr>
          <w:rFonts w:ascii="Times New Roman" w:hAnsi="Times New Roman" w:cs="Times New Roman"/>
          <w:i/>
          <w:iCs/>
        </w:rPr>
        <w:t>kompetences centra vadītāja un pētījumu virzienu vadītāju dzīves gaitas apraksti (CV) (atbilstoši atlases nolikuma 8.pielikumā pievienotajai formai, kas nav jāiesniedz, ja kompetences centra vadītājs nav mainījies no otrās kārtas īstenošanas)</w:t>
      </w:r>
      <w:r w:rsidRPr="00070EF8">
        <w:rPr>
          <w:rFonts w:ascii="Times New Roman" w:hAnsi="Times New Roman" w:cs="Times New Roman"/>
        </w:rPr>
        <w:t>. Lūgums precizēt, vai nosacījums par CV neiesniegšanu attiecas tikai uz centra vadītāju, vai arī uz pētījumu virzienu vadītājiem, ja tie nav mainījušies?</w:t>
      </w: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Times New Roman" w:hAnsi="Times New Roman" w:cs="Times New Roman"/>
          <w:b/>
        </w:rPr>
      </w:pPr>
      <w:r w:rsidRPr="00070EF8">
        <w:rPr>
          <w:rFonts w:ascii="Times New Roman" w:hAnsi="Times New Roman" w:cs="Times New Roman"/>
          <w:b/>
        </w:rPr>
        <w:t>Atbilde:</w:t>
      </w:r>
    </w:p>
    <w:p w:rsidR="00070EF8" w:rsidRPr="00070EF8" w:rsidRDefault="00070EF8" w:rsidP="00070EF8">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rPr>
      </w:pPr>
      <w:r w:rsidRPr="00070EF8">
        <w:rPr>
          <w:rFonts w:ascii="Times New Roman" w:hAnsi="Times New Roman" w:cs="Times New Roman"/>
        </w:rPr>
        <w:t xml:space="preserve">Atbilstoši Darbības programmas “Izaugsme un nodarbinātība” 1.2.1.specifiskā atbalsta mērķa „Palielināt privātā sektora investīcijas P&amp;A” 1.2.1.1.pasākuma „Atbalsts jaunu produktu un tehnoloģiju izstrādei kompetences centru ietvaros” ceturtās projektu iesniegumu atlases kārtas nolikuma 12.8.punktam dzīves gaitas apraksti (CV) nav jāiesniedz ja kompetences centra vadītājs nav mainījies no otrās kārtas īstenošanas. Visos pārējos gadījumos ir nepieciešams iesniegt dzīves gaitas aprakstus (CV). </w:t>
      </w:r>
    </w:p>
    <w:p w:rsidR="00070EF8" w:rsidRPr="00070EF8" w:rsidRDefault="00070EF8" w:rsidP="00070EF8">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rPr>
      </w:pPr>
      <w:r w:rsidRPr="00070EF8">
        <w:rPr>
          <w:rFonts w:ascii="Times New Roman" w:hAnsi="Times New Roman" w:cs="Times New Roman"/>
        </w:rPr>
        <w:t>Lai Centrālā finanšu un līgumu aģentūra izvērtētu kompetences centru pētījumu virzienu vadītāju pieredzi, atbilstoši “Projektu iesniegumu vērtēšanas kritēriju piemērošanas metodika” kvalitātes kritērijam Nr.2.2. “Kompetences centra pētījumu virzienu vadītāju pieredze” un piešķirtu vērtējumu, Centrālā finanšu un līgumu aģentūra vērtē projekta iesniegumam pievienotos dokumentus (CV pēc atlases nolikuma pielikumā pievienotās formas) un projekta iesniegumā (2.1.punktā) norādīto informāciju.</w:t>
      </w:r>
    </w:p>
    <w:p w:rsidR="00070EF8" w:rsidRPr="00070EF8" w:rsidRDefault="00070EF8" w:rsidP="00070EF8">
      <w:pPr>
        <w:spacing w:after="0" w:line="240" w:lineRule="auto"/>
        <w:rPr>
          <w:rFonts w:ascii="Times New Roman" w:hAnsi="Times New Roman" w:cs="Times New Roman"/>
          <w:b/>
        </w:rPr>
      </w:pP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Times New Roman" w:hAnsi="Times New Roman" w:cs="Times New Roman"/>
          <w:b/>
        </w:rPr>
      </w:pPr>
      <w:r w:rsidRPr="00070EF8">
        <w:rPr>
          <w:rFonts w:ascii="Times New Roman" w:hAnsi="Times New Roman" w:cs="Times New Roman"/>
          <w:b/>
        </w:rPr>
        <w:t>Jautājums:</w:t>
      </w: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070EF8">
        <w:rPr>
          <w:rFonts w:ascii="Times New Roman" w:hAnsi="Times New Roman" w:cs="Times New Roman"/>
        </w:rPr>
        <w:t xml:space="preserve">Vienotā kritērija Nr. 9 vērtēšanas metodoloģija paredz, ka </w:t>
      </w:r>
      <w:r w:rsidRPr="00070EF8">
        <w:rPr>
          <w:rFonts w:ascii="Times New Roman" w:hAnsi="Times New Roman" w:cs="Times New Roman"/>
          <w:i/>
          <w:iCs/>
        </w:rPr>
        <w:t>noteiktais publiskais maksimālais finansējums vienai viedās specializācijas apakšjomai vai jomai, atbilstoši MK noteikumu 11.punktā minētajam sadalījumam, ir 3 206 250 euro, un papildus pieejamais ERAF līdzfinansējums starpnozaru sadarbības pētījumiem, kas sadalīts vienādās daļās starp finansējuma saņēmējiem</w:t>
      </w:r>
      <w:r w:rsidRPr="00070EF8">
        <w:rPr>
          <w:rFonts w:ascii="Times New Roman" w:hAnsi="Times New Roman" w:cs="Times New Roman"/>
        </w:rPr>
        <w:t>. Vai tas nozīmē, ka viens kompetences centrs var pieteikties uz papildus ERAF līdzfinansējumu starpnozaru sadarbības pētījumiem 1/8 apmērā no kopējās summas, t.i., 12 014 892 euro : 8 = 1 501 861.50 euro?</w:t>
      </w: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Times New Roman" w:hAnsi="Times New Roman" w:cs="Times New Roman"/>
          <w:b/>
        </w:rPr>
      </w:pPr>
      <w:r w:rsidRPr="00070EF8">
        <w:rPr>
          <w:rFonts w:ascii="Times New Roman" w:hAnsi="Times New Roman" w:cs="Times New Roman"/>
          <w:b/>
        </w:rPr>
        <w:t>Atbilde:</w:t>
      </w: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070EF8">
        <w:rPr>
          <w:rFonts w:ascii="Times New Roman" w:hAnsi="Times New Roman" w:cs="Times New Roman"/>
        </w:rPr>
        <w:t xml:space="preserve">Atbilstoši Ministru kabineta noteikumu Nr. 2, 11.punkta nosacījumam, pasākuma ietvaros izveido vismaz vienu kompetences centru katrā viedās specializācijas jomā vai apakšjomā un savukārt papildus pieejamais Eiropas Reģionālās attīstības fonda (turpmāk – ERAF) finansējums tiek sadalīts vienādās daļās starp specializācijas jomām vai apakšjomām. Ja katrā viedās specializācijas jomā vai apakšjomā pieteiksies viens kompetences centrs, tad papildus pieejamais ERAF līdzfinansējumu starppnozaru sadarbības pētījumiem 1 501 861,50 </w:t>
      </w:r>
      <w:r w:rsidRPr="00070EF8">
        <w:rPr>
          <w:rFonts w:ascii="Times New Roman" w:hAnsi="Times New Roman" w:cs="Times New Roman"/>
          <w:i/>
        </w:rPr>
        <w:t>euro</w:t>
      </w:r>
      <w:r w:rsidRPr="00070EF8">
        <w:rPr>
          <w:rFonts w:ascii="Times New Roman" w:hAnsi="Times New Roman" w:cs="Times New Roman"/>
        </w:rPr>
        <w:t>.</w:t>
      </w:r>
    </w:p>
    <w:p w:rsidR="00070EF8" w:rsidRPr="00070EF8" w:rsidRDefault="00070EF8" w:rsidP="00070EF8">
      <w:pPr>
        <w:spacing w:after="0" w:line="240" w:lineRule="auto"/>
        <w:rPr>
          <w:rFonts w:ascii="Times New Roman" w:hAnsi="Times New Roman" w:cs="Times New Roman"/>
          <w:b/>
        </w:rPr>
      </w:pP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Times New Roman" w:hAnsi="Times New Roman" w:cs="Times New Roman"/>
          <w:b/>
        </w:rPr>
      </w:pPr>
      <w:r w:rsidRPr="00070EF8">
        <w:rPr>
          <w:rFonts w:ascii="Times New Roman" w:hAnsi="Times New Roman" w:cs="Times New Roman"/>
          <w:b/>
        </w:rPr>
        <w:t>Jautājums:</w:t>
      </w: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070EF8">
        <w:rPr>
          <w:rFonts w:ascii="Times New Roman" w:hAnsi="Times New Roman" w:cs="Times New Roman"/>
        </w:rPr>
        <w:t xml:space="preserve">Atlases nolikuma punkts 12.5 paredz, ka biedrības atbalsta vēstule jāiesniedz kompetences centram, kas nav piedalījies otrās kārtas atlasē. Savukārt specifiskā atbalsta kritērija Nr. 1.3 </w:t>
      </w:r>
      <w:r w:rsidRPr="00070EF8">
        <w:rPr>
          <w:rFonts w:ascii="Times New Roman" w:hAnsi="Times New Roman" w:cs="Times New Roman"/>
        </w:rPr>
        <w:lastRenderedPageBreak/>
        <w:t>vērtēšanas metodoloģija paredz vērtējumu “Jā”, ja kompetences centrs ir pievienojis atbalsta vēstuli no biedrības, neatrunājot situāciju, ka vēstule kompetences centriem, kas īstenoja projektus 2.kārtā, nebūtu jāiesniedz. 1.3 ir neprecizējams kritērijs, līdz ar to jautājums par to, kā jārīkojas šajā situācijā kompetences centriem, kas īstenoja projektus 2.kārtā, lai projekts netiktu noraidīts  - jāiesniedz 2016.gada atbalsta vēstule? Tas pats jautājums par CV, kas arī saskaņā ar nolikumu nav jāiesniedz, bet tiek vērtēti?</w:t>
      </w: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Times New Roman" w:hAnsi="Times New Roman" w:cs="Times New Roman"/>
          <w:b/>
        </w:rPr>
      </w:pPr>
      <w:r w:rsidRPr="00070EF8">
        <w:rPr>
          <w:rFonts w:ascii="Times New Roman" w:hAnsi="Times New Roman" w:cs="Times New Roman"/>
          <w:b/>
        </w:rPr>
        <w:t>Atbilde:</w:t>
      </w:r>
    </w:p>
    <w:p w:rsidR="00070EF8" w:rsidRPr="00070EF8" w:rsidRDefault="00070EF8" w:rsidP="00070EF8">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rPr>
      </w:pPr>
      <w:r w:rsidRPr="00070EF8">
        <w:rPr>
          <w:rFonts w:ascii="Times New Roman" w:hAnsi="Times New Roman" w:cs="Times New Roman"/>
        </w:rPr>
        <w:t xml:space="preserve">Centrālā finanšu un līgumu aģentūra, izvērtējot projekta iesniegumu, atbilstoši Projektu iesniegumu vērtēšanas kritēriju piemērošanas metodikas specifiskā atbilstības kritērijā Nr.1.3. norādītajam, ņems vērā pievienoto atbalsta vēstuli no biedrības, ja tāda tika iesniegta otrās projektu iesniegumu atlases kārtā. </w:t>
      </w:r>
    </w:p>
    <w:p w:rsidR="00070EF8" w:rsidRPr="00070EF8" w:rsidRDefault="00070EF8" w:rsidP="00070EF8">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rPr>
      </w:pPr>
      <w:r w:rsidRPr="00070EF8">
        <w:rPr>
          <w:rFonts w:ascii="Times New Roman" w:hAnsi="Times New Roman" w:cs="Times New Roman"/>
        </w:rPr>
        <w:t xml:space="preserve">Projekta iesniedzējam jāpārliecinās, ka vairāk par pusi plānoto pētniecības projektu būs attiecīgās biedrības pārstāvētajās nozarēs pievienotajā pētījumu sarakstā un vai pievienotā otrās projektu iesniegumu atlases kārtā atbalsta vēstule no biedrības satur aktuālu informāciju, lai Projektu iesniegumu vērtēšanas kritēriju piemērošanas metodikas specifiskā atbilstības kritērijā Nr.1.3. saņemtu vērtējumu “Jā”. </w:t>
      </w:r>
    </w:p>
    <w:p w:rsidR="00070EF8" w:rsidRPr="00070EF8" w:rsidRDefault="00070EF8" w:rsidP="00070EF8">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rPr>
      </w:pPr>
      <w:r w:rsidRPr="00070EF8">
        <w:rPr>
          <w:rFonts w:ascii="Times New Roman" w:hAnsi="Times New Roman" w:cs="Times New Roman"/>
        </w:rPr>
        <w:t xml:space="preserve">Saskaņā ar Darbības programmas “Izaugsme un nodarbinātība” 1.2.1.specifiskā atbalsta mērķa „Palielināt privātā sektora investīcijas P&amp;A” 1.2.1.1.pasākuma „Atbalsts jaunu produktu un tehnoloģiju izstrādei kompetences centru ietvaros” ceturtās projektu iesniegumu atlases kārtas nolikuma 12.8.punkta norādītajam, ja kompetences centra vadītājs nav mainījies no otrās projektu iesniegumu atlases kārtas īstenošanas, dzīves gaitas apraksti (CV) nav jāiesniedz. </w:t>
      </w:r>
    </w:p>
    <w:p w:rsidR="00070EF8" w:rsidRPr="00070EF8" w:rsidRDefault="00070EF8" w:rsidP="00070EF8">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rPr>
      </w:pPr>
      <w:r w:rsidRPr="00070EF8">
        <w:rPr>
          <w:rFonts w:ascii="Times New Roman" w:hAnsi="Times New Roman" w:cs="Times New Roman"/>
        </w:rPr>
        <w:t>Projektu iesniegumu vērtēšanas kritēriju piemērošanas metodikas kvalitātes kritērijā Nr.2.1. tiek izvērtēta kompetences centra vadītāja pieredze un ja dzīves gaitas apraksta saturs būtiski atšķiras no otrās projektu iesniegumu atlases kārtas iesniegtā, tad CFLA, izvērtējot iesniegto dzīves gaitas aprakstu (CV) var palielināt kritērijā noteikto punktu skaitu.</w:t>
      </w:r>
    </w:p>
    <w:p w:rsidR="00070EF8" w:rsidRPr="00070EF8" w:rsidRDefault="00070EF8" w:rsidP="00070EF8">
      <w:pPr>
        <w:spacing w:after="0" w:line="240" w:lineRule="auto"/>
        <w:rPr>
          <w:rFonts w:ascii="Times New Roman" w:hAnsi="Times New Roman" w:cs="Times New Roman"/>
        </w:rPr>
      </w:pP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Times New Roman" w:hAnsi="Times New Roman" w:cs="Times New Roman"/>
          <w:b/>
        </w:rPr>
      </w:pPr>
      <w:r w:rsidRPr="00070EF8">
        <w:rPr>
          <w:rFonts w:ascii="Times New Roman" w:hAnsi="Times New Roman" w:cs="Times New Roman"/>
          <w:b/>
        </w:rPr>
        <w:t>Jautājums:</w:t>
      </w: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070EF8">
        <w:rPr>
          <w:rFonts w:ascii="Times New Roman" w:hAnsi="Times New Roman" w:cs="Times New Roman"/>
        </w:rPr>
        <w:t>Vai pareizi saprotam, ka projekta īstenošanas sākuma datums, kas norādāms pieteikuma formā var būt 01.01.2019 un bankas garantijas laiks pirmajiem 12 projekta īstenošanas mēnešiem - 01.01.2019-31.12.2019?</w:t>
      </w: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Times New Roman" w:hAnsi="Times New Roman" w:cs="Times New Roman"/>
          <w:b/>
        </w:rPr>
      </w:pPr>
      <w:r w:rsidRPr="00070EF8">
        <w:rPr>
          <w:rFonts w:ascii="Times New Roman" w:hAnsi="Times New Roman" w:cs="Times New Roman"/>
          <w:b/>
        </w:rPr>
        <w:t>Atbilde:</w:t>
      </w:r>
    </w:p>
    <w:p w:rsidR="00070EF8" w:rsidRPr="00070EF8" w:rsidRDefault="00070EF8" w:rsidP="00070EF8">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rPr>
      </w:pPr>
      <w:r w:rsidRPr="00070EF8">
        <w:rPr>
          <w:rFonts w:ascii="Times New Roman" w:hAnsi="Times New Roman" w:cs="Times New Roman"/>
        </w:rPr>
        <w:t xml:space="preserve">Eiropas Reģionālās attīstības fonda projekta iesnieguma formas sadaļu “Projekta iesniegšanas datums*” aizpilda CFLA. </w:t>
      </w:r>
    </w:p>
    <w:p w:rsidR="00070EF8" w:rsidRPr="00070EF8" w:rsidRDefault="00070EF8" w:rsidP="00070EF8">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rPr>
      </w:pPr>
      <w:r w:rsidRPr="00070EF8">
        <w:rPr>
          <w:rFonts w:ascii="Times New Roman" w:hAnsi="Times New Roman" w:cs="Times New Roman"/>
        </w:rPr>
        <w:t xml:space="preserve">Savukārt veidlapā “Pētniecības projekta apraksts” pie pētniecības projekta sākuma datumu ieteicams norādīt 2019.gada martu, lai izvairītos no izmaksu neattiecināmības, ja pētniecības projekts netiek apstiprināts. Līdz ar to bankas garantijas termiņš atbilstoši Kritēriju metodikas 3.1.kvalitātes kritēriju prasībām būtu jābūt no 2019.gada martam līdz 2020.gada martam (atbilstoši pētniecības projektu sākuma termiņiem). </w:t>
      </w:r>
    </w:p>
    <w:p w:rsidR="00070EF8" w:rsidRPr="00070EF8" w:rsidRDefault="00070EF8" w:rsidP="00070EF8">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rPr>
      </w:pPr>
      <w:r w:rsidRPr="00070EF8">
        <w:rPr>
          <w:rFonts w:ascii="Times New Roman" w:hAnsi="Times New Roman" w:cs="Times New Roman"/>
        </w:rPr>
        <w:t>Vienlaikus vēlamies uzsvērt, ka saskaņā ar MK noteikumu Nr.2 25.punktu ceturtajā kārtā atbalsts tiek sniegts tikai tādām pētniecības projekta vai projekta iesnieguma darbībām, kas tiek uzsāktas pēc projekta iesnieguma vai pētniecības projekta iesnieguma iesniegšanas dienas sadarbības iestādē. Ceturtajā kārtā izmaksu attiecināmība sākas no projekta iesnieguma vai pētniecības projekta iesnieguma iesniegšanas dienas sadarbības iestādē (šīs izmaksas norādītas finanšu grafikos).</w:t>
      </w:r>
    </w:p>
    <w:p w:rsidR="00070EF8" w:rsidRPr="00070EF8" w:rsidRDefault="00070EF8" w:rsidP="00070EF8">
      <w:pPr>
        <w:spacing w:after="0" w:line="240" w:lineRule="auto"/>
        <w:rPr>
          <w:rFonts w:ascii="Times New Roman" w:hAnsi="Times New Roman" w:cs="Times New Roman"/>
        </w:rPr>
      </w:pP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Times New Roman" w:hAnsi="Times New Roman" w:cs="Times New Roman"/>
        </w:rPr>
      </w:pPr>
      <w:r w:rsidRPr="00070EF8">
        <w:rPr>
          <w:rFonts w:ascii="Times New Roman" w:hAnsi="Times New Roman" w:cs="Times New Roman"/>
          <w:b/>
          <w:bCs/>
        </w:rPr>
        <w:t>Jautājums</w:t>
      </w:r>
      <w:r w:rsidRPr="00070EF8">
        <w:rPr>
          <w:rFonts w:ascii="Times New Roman" w:hAnsi="Times New Roman" w:cs="Times New Roman"/>
        </w:rPr>
        <w:t xml:space="preserve">: </w:t>
      </w: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070EF8">
        <w:rPr>
          <w:rFonts w:ascii="Times New Roman" w:hAnsi="Times New Roman" w:cs="Times New Roman"/>
        </w:rPr>
        <w:t>Uz kādu termiņu ir jābūt 3.1.kvalitātes kritērijā minētajai bankas garantijai 4% apmērā.</w:t>
      </w: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Times New Roman" w:hAnsi="Times New Roman" w:cs="Times New Roman"/>
        </w:rPr>
      </w:pPr>
      <w:r w:rsidRPr="00070EF8">
        <w:rPr>
          <w:rFonts w:ascii="Times New Roman" w:hAnsi="Times New Roman" w:cs="Times New Roman"/>
          <w:b/>
          <w:bCs/>
        </w:rPr>
        <w:t>Atbilde:</w:t>
      </w:r>
      <w:r w:rsidRPr="00070EF8">
        <w:rPr>
          <w:rFonts w:ascii="Times New Roman" w:hAnsi="Times New Roman" w:cs="Times New Roman"/>
        </w:rPr>
        <w:t xml:space="preserve"> </w:t>
      </w:r>
    </w:p>
    <w:p w:rsidR="00070EF8" w:rsidRPr="00070EF8" w:rsidRDefault="00070EF8" w:rsidP="00070EF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070EF8">
        <w:rPr>
          <w:rFonts w:ascii="Times New Roman" w:hAnsi="Times New Roman" w:cs="Times New Roman"/>
        </w:rPr>
        <w:t>Kā minēts kritēriju metodikas 3.1.kvalitātes kritērijā skaidrojuma sadaļā, tad bankas garantija 4% tiek noteikta no pieprasītā publiskā finansējuma pirmajiem 12 projekta īstenošanas mēnešiem. Ņemot vērā, ka ieteicamais pētniecības projektu sākuma termiņš no 2019.gada marta, tad bankas garantijas termiņš ir līdz 2020.gada martam.</w:t>
      </w:r>
    </w:p>
    <w:p w:rsidR="00070EF8" w:rsidRPr="00070EF8" w:rsidRDefault="00070EF8" w:rsidP="00070EF8">
      <w:pPr>
        <w:spacing w:after="0" w:line="240" w:lineRule="auto"/>
        <w:rPr>
          <w:rFonts w:ascii="Times New Roman" w:hAnsi="Times New Roman" w:cs="Times New Roman"/>
        </w:rPr>
      </w:pPr>
    </w:p>
    <w:p w:rsidR="00A86B79" w:rsidRPr="00A86B79" w:rsidRDefault="00A86B79" w:rsidP="00A86B79">
      <w:pPr>
        <w:spacing w:after="0" w:line="240" w:lineRule="auto"/>
        <w:jc w:val="right"/>
        <w:rPr>
          <w:rFonts w:ascii="Times New Roman" w:hAnsi="Times New Roman" w:cs="Times New Roman"/>
          <w:i/>
        </w:rPr>
      </w:pPr>
      <w:r w:rsidRPr="00A86B79">
        <w:rPr>
          <w:rFonts w:ascii="Times New Roman" w:hAnsi="Times New Roman" w:cs="Times New Roman"/>
          <w:i/>
        </w:rPr>
        <w:t>Sagatavots 6.1</w:t>
      </w:r>
      <w:r>
        <w:rPr>
          <w:rFonts w:ascii="Times New Roman" w:hAnsi="Times New Roman" w:cs="Times New Roman"/>
          <w:i/>
        </w:rPr>
        <w:t>1</w:t>
      </w:r>
      <w:r w:rsidRPr="00A86B79">
        <w:rPr>
          <w:rFonts w:ascii="Times New Roman" w:hAnsi="Times New Roman" w:cs="Times New Roman"/>
          <w:i/>
        </w:rPr>
        <w:t>.2018</w:t>
      </w:r>
    </w:p>
    <w:tbl>
      <w:tblPr>
        <w:tblStyle w:val="TableGrid"/>
        <w:tblW w:w="0" w:type="auto"/>
        <w:tblLook w:val="04A0" w:firstRow="1" w:lastRow="0" w:firstColumn="1" w:lastColumn="0" w:noHBand="0" w:noVBand="1"/>
      </w:tblPr>
      <w:tblGrid>
        <w:gridCol w:w="8296"/>
      </w:tblGrid>
      <w:tr w:rsidR="005C215F" w:rsidTr="005C215F">
        <w:tc>
          <w:tcPr>
            <w:tcW w:w="8296" w:type="dxa"/>
            <w:shd w:val="clear" w:color="auto" w:fill="D9D9D9" w:themeFill="background1" w:themeFillShade="D9"/>
          </w:tcPr>
          <w:p w:rsidR="005C215F" w:rsidRPr="005C215F" w:rsidRDefault="005C215F" w:rsidP="005C215F">
            <w:pPr>
              <w:shd w:val="clear" w:color="auto" w:fill="D9D9D9" w:themeFill="background1" w:themeFillShade="D9"/>
              <w:rPr>
                <w:rFonts w:ascii="Times New Roman" w:hAnsi="Times New Roman" w:cs="Times New Roman"/>
                <w:b/>
              </w:rPr>
            </w:pPr>
            <w:r w:rsidRPr="00A86B79">
              <w:rPr>
                <w:rFonts w:ascii="Times New Roman" w:hAnsi="Times New Roman" w:cs="Times New Roman"/>
                <w:b/>
              </w:rPr>
              <w:t>Jautājums:</w:t>
            </w:r>
          </w:p>
        </w:tc>
      </w:tr>
      <w:tr w:rsidR="005C215F" w:rsidTr="005C215F">
        <w:tc>
          <w:tcPr>
            <w:tcW w:w="8296" w:type="dxa"/>
          </w:tcPr>
          <w:p w:rsidR="005C215F" w:rsidRPr="005C215F" w:rsidRDefault="005C215F" w:rsidP="005C215F">
            <w:pPr>
              <w:spacing w:after="160" w:line="259" w:lineRule="auto"/>
              <w:jc w:val="both"/>
              <w:rPr>
                <w:rFonts w:ascii="Times New Roman" w:hAnsi="Times New Roman" w:cs="Times New Roman"/>
              </w:rPr>
            </w:pPr>
            <w:r>
              <w:rPr>
                <w:rFonts w:ascii="Times New Roman" w:hAnsi="Times New Roman" w:cs="Times New Roman"/>
              </w:rPr>
              <w:t>Atlases nolikuma 10.pielikuma “</w:t>
            </w:r>
            <w:r w:rsidRPr="009E42A5">
              <w:rPr>
                <w:rFonts w:ascii="Times New Roman" w:hAnsi="Times New Roman" w:cs="Times New Roman"/>
              </w:rPr>
              <w:t>Kompetences centra pētniecības projektu apraksta standartforma</w:t>
            </w:r>
            <w:r>
              <w:rPr>
                <w:rFonts w:ascii="Times New Roman" w:hAnsi="Times New Roman" w:cs="Times New Roman"/>
              </w:rPr>
              <w:t>”</w:t>
            </w:r>
            <w:r w:rsidRPr="00A86B79">
              <w:rPr>
                <w:rFonts w:ascii="Times New Roman" w:hAnsi="Times New Roman" w:cs="Times New Roman"/>
              </w:rPr>
              <w:t xml:space="preserve"> 3.lapā ir rindkopa: “Veicot izmaiņas pētniecības projektā (lai palielinātu finansējumu vai veiktu citas būtiskas izmaiņas), tiek ievērota identiska procedūra kā apstipr</w:t>
            </w:r>
            <w:r>
              <w:rPr>
                <w:rFonts w:ascii="Times New Roman" w:hAnsi="Times New Roman" w:cs="Times New Roman"/>
              </w:rPr>
              <w:t>inot jaunu pētniecības projektu</w:t>
            </w:r>
            <w:r w:rsidRPr="00A86B79">
              <w:rPr>
                <w:rFonts w:ascii="Times New Roman" w:hAnsi="Times New Roman" w:cs="Times New Roman"/>
              </w:rPr>
              <w:t>”</w:t>
            </w:r>
            <w:r>
              <w:rPr>
                <w:rFonts w:ascii="Times New Roman" w:hAnsi="Times New Roman" w:cs="Times New Roman"/>
              </w:rPr>
              <w:t>.</w:t>
            </w:r>
            <w:r w:rsidRPr="00A86B79">
              <w:rPr>
                <w:rFonts w:ascii="Times New Roman" w:hAnsi="Times New Roman" w:cs="Times New Roman"/>
              </w:rPr>
              <w:t xml:space="preserve"> Programmas 2.kārtā apstiprināto pētījumu finansējumu palielināt nedrīkstēja. Vai 4.kārtā paredzētas situācijas, kad pētījums varēs saņemt papildus finansējumu?</w:t>
            </w:r>
          </w:p>
        </w:tc>
      </w:tr>
      <w:tr w:rsidR="005C215F" w:rsidTr="005C215F">
        <w:tc>
          <w:tcPr>
            <w:tcW w:w="8296" w:type="dxa"/>
            <w:shd w:val="clear" w:color="auto" w:fill="D9D9D9" w:themeFill="background1" w:themeFillShade="D9"/>
          </w:tcPr>
          <w:p w:rsidR="005C215F" w:rsidRPr="005C215F" w:rsidRDefault="005C215F" w:rsidP="005C215F">
            <w:pPr>
              <w:shd w:val="clear" w:color="auto" w:fill="D9D9D9" w:themeFill="background1" w:themeFillShade="D9"/>
              <w:rPr>
                <w:rFonts w:ascii="Times New Roman" w:hAnsi="Times New Roman" w:cs="Times New Roman"/>
                <w:b/>
              </w:rPr>
            </w:pPr>
            <w:r w:rsidRPr="00A86B79">
              <w:rPr>
                <w:rFonts w:ascii="Times New Roman" w:hAnsi="Times New Roman" w:cs="Times New Roman"/>
                <w:b/>
              </w:rPr>
              <w:t xml:space="preserve">Atbilde: </w:t>
            </w:r>
          </w:p>
        </w:tc>
      </w:tr>
      <w:tr w:rsidR="005C215F" w:rsidTr="005C215F">
        <w:tc>
          <w:tcPr>
            <w:tcW w:w="8296" w:type="dxa"/>
          </w:tcPr>
          <w:p w:rsidR="005C215F" w:rsidRPr="00A86B79" w:rsidRDefault="005C215F" w:rsidP="005C215F">
            <w:pPr>
              <w:ind w:firstLine="720"/>
              <w:jc w:val="both"/>
              <w:rPr>
                <w:rFonts w:ascii="Times New Roman" w:hAnsi="Times New Roman" w:cs="Times New Roman"/>
              </w:rPr>
            </w:pPr>
            <w:r w:rsidRPr="00A86B79">
              <w:rPr>
                <w:rFonts w:ascii="Times New Roman" w:hAnsi="Times New Roman" w:cs="Times New Roman"/>
              </w:rPr>
              <w:t xml:space="preserve">Skaidrojam, ka atlases nolikuma 10.pielikuma 3.lapā ar rindkopu “veicot izmaiņas pētniecības projektā (lai palielinātu finansējumu vai veiktu citas būtiskas izmaiņas), tiek ievērota identiska procedūra kā apstiprinot jaunu pētniecības projektu” ir saprotams, ka pētniecības projektā, ko apstiprinājis CFLA, nav iespējams palielināt finansējumu vai veikt citas būtiskas izmaiņas. </w:t>
            </w:r>
          </w:p>
          <w:p w:rsidR="005C215F" w:rsidRPr="00A86B79" w:rsidRDefault="005C215F" w:rsidP="005C215F">
            <w:pPr>
              <w:ind w:firstLine="720"/>
              <w:jc w:val="both"/>
              <w:rPr>
                <w:rFonts w:ascii="Times New Roman" w:hAnsi="Times New Roman" w:cs="Times New Roman"/>
              </w:rPr>
            </w:pPr>
            <w:r w:rsidRPr="00A86B79">
              <w:rPr>
                <w:rFonts w:ascii="Times New Roman" w:hAnsi="Times New Roman" w:cs="Times New Roman"/>
              </w:rPr>
              <w:t>Ceturtās projektu iesniegumu atlases kārtas nolikuma 10.punkts nosaka, ka “neparedzētie izdevumi, kas pārsniedz M</w:t>
            </w:r>
            <w:r w:rsidR="008A47EC">
              <w:rPr>
                <w:rFonts w:ascii="Times New Roman" w:hAnsi="Times New Roman" w:cs="Times New Roman"/>
              </w:rPr>
              <w:t xml:space="preserve">inistru kabineta </w:t>
            </w:r>
            <w:r w:rsidR="008A47EC" w:rsidRPr="008A47EC">
              <w:rPr>
                <w:rFonts w:ascii="Times New Roman" w:hAnsi="Times New Roman" w:cs="Times New Roman"/>
              </w:rPr>
              <w:t>2016.gada 5. janvār</w:t>
            </w:r>
            <w:r w:rsidR="008A47EC">
              <w:rPr>
                <w:rFonts w:ascii="Times New Roman" w:hAnsi="Times New Roman" w:cs="Times New Roman"/>
              </w:rPr>
              <w:t>a</w:t>
            </w:r>
            <w:r w:rsidR="008A47EC" w:rsidRPr="008A47EC">
              <w:rPr>
                <w:rFonts w:ascii="Times New Roman" w:hAnsi="Times New Roman" w:cs="Times New Roman"/>
              </w:rPr>
              <w:t xml:space="preserve"> </w:t>
            </w:r>
            <w:r w:rsidRPr="00A86B79">
              <w:rPr>
                <w:rFonts w:ascii="Times New Roman" w:hAnsi="Times New Roman" w:cs="Times New Roman"/>
              </w:rPr>
              <w:t>noteikum</w:t>
            </w:r>
            <w:r w:rsidR="008A47EC">
              <w:rPr>
                <w:rFonts w:ascii="Times New Roman" w:hAnsi="Times New Roman" w:cs="Times New Roman"/>
              </w:rPr>
              <w:t>u Nr.2</w:t>
            </w:r>
            <w:r w:rsidRPr="00A86B79">
              <w:rPr>
                <w:rFonts w:ascii="Times New Roman" w:hAnsi="Times New Roman" w:cs="Times New Roman"/>
              </w:rPr>
              <w:t xml:space="preserve"> </w:t>
            </w:r>
            <w:r w:rsidR="008A47EC">
              <w:rPr>
                <w:rFonts w:ascii="Times New Roman" w:hAnsi="Times New Roman" w:cs="Times New Roman"/>
              </w:rPr>
              <w:t>“</w:t>
            </w:r>
            <w:r w:rsidR="008A47EC" w:rsidRPr="008A47EC">
              <w:rPr>
                <w:rFonts w:ascii="Times New Roman" w:hAnsi="Times New Roman" w:cs="Times New Roman"/>
              </w:rPr>
              <w:t xml:space="preserve">Darbības programmas </w:t>
            </w:r>
            <w:r w:rsidR="00A93040">
              <w:rPr>
                <w:rFonts w:ascii="Times New Roman" w:hAnsi="Times New Roman" w:cs="Times New Roman"/>
              </w:rPr>
              <w:t>“</w:t>
            </w:r>
            <w:r w:rsidR="008A47EC" w:rsidRPr="008A47EC">
              <w:rPr>
                <w:rFonts w:ascii="Times New Roman" w:hAnsi="Times New Roman" w:cs="Times New Roman"/>
              </w:rPr>
              <w:t>Izaugsme un nodarbinātība</w:t>
            </w:r>
            <w:r w:rsidR="00A93040">
              <w:rPr>
                <w:rFonts w:ascii="Times New Roman" w:hAnsi="Times New Roman" w:cs="Times New Roman"/>
              </w:rPr>
              <w:t>”</w:t>
            </w:r>
            <w:r w:rsidR="008A47EC" w:rsidRPr="008A47EC">
              <w:rPr>
                <w:rFonts w:ascii="Times New Roman" w:hAnsi="Times New Roman" w:cs="Times New Roman"/>
              </w:rPr>
              <w:t xml:space="preserve"> 1.2.1. specifiskā atbalsta mērķa </w:t>
            </w:r>
            <w:r w:rsidR="00A93040">
              <w:rPr>
                <w:rFonts w:ascii="Times New Roman" w:hAnsi="Times New Roman" w:cs="Times New Roman"/>
              </w:rPr>
              <w:t>“</w:t>
            </w:r>
            <w:r w:rsidR="008A47EC" w:rsidRPr="008A47EC">
              <w:rPr>
                <w:rFonts w:ascii="Times New Roman" w:hAnsi="Times New Roman" w:cs="Times New Roman"/>
              </w:rPr>
              <w:t>Palielināt privātā sektora investīcijas P&amp;A</w:t>
            </w:r>
            <w:r w:rsidR="00A93040">
              <w:rPr>
                <w:rFonts w:ascii="Times New Roman" w:hAnsi="Times New Roman" w:cs="Times New Roman"/>
              </w:rPr>
              <w:t>”</w:t>
            </w:r>
            <w:r w:rsidR="008A47EC" w:rsidRPr="008A47EC">
              <w:rPr>
                <w:rFonts w:ascii="Times New Roman" w:hAnsi="Times New Roman" w:cs="Times New Roman"/>
              </w:rPr>
              <w:t xml:space="preserve"> 1.2.1.1. pasākuma </w:t>
            </w:r>
            <w:r w:rsidR="00A93040">
              <w:rPr>
                <w:rFonts w:ascii="Times New Roman" w:hAnsi="Times New Roman" w:cs="Times New Roman"/>
              </w:rPr>
              <w:t>“</w:t>
            </w:r>
            <w:r w:rsidR="008A47EC" w:rsidRPr="008A47EC">
              <w:rPr>
                <w:rFonts w:ascii="Times New Roman" w:hAnsi="Times New Roman" w:cs="Times New Roman"/>
              </w:rPr>
              <w:t>Atbalsts jaunu produktu un tehnoloģiju izstrādei kompetences centru ietvaros</w:t>
            </w:r>
            <w:r w:rsidR="00A93040">
              <w:rPr>
                <w:rFonts w:ascii="Times New Roman" w:hAnsi="Times New Roman" w:cs="Times New Roman"/>
              </w:rPr>
              <w:t>”</w:t>
            </w:r>
            <w:r w:rsidR="008A47EC" w:rsidRPr="008A47EC">
              <w:rPr>
                <w:rFonts w:ascii="Times New Roman" w:hAnsi="Times New Roman" w:cs="Times New Roman"/>
              </w:rPr>
              <w:t xml:space="preserve"> pirmās, otrās un ceturtās projektu iesniegumu atlases kārtas īstenošanas noteikumi</w:t>
            </w:r>
            <w:r w:rsidR="008A47EC">
              <w:rPr>
                <w:rFonts w:ascii="Times New Roman" w:hAnsi="Times New Roman" w:cs="Times New Roman"/>
              </w:rPr>
              <w:t xml:space="preserve">” </w:t>
            </w:r>
            <w:r>
              <w:rPr>
                <w:rFonts w:ascii="Times New Roman" w:hAnsi="Times New Roman" w:cs="Times New Roman"/>
              </w:rPr>
              <w:t>30.1.5.apakšpunktā minēto 5</w:t>
            </w:r>
            <w:r w:rsidRPr="00A86B79">
              <w:rPr>
                <w:rFonts w:ascii="Times New Roman" w:hAnsi="Times New Roman" w:cs="Times New Roman"/>
              </w:rPr>
              <w:t>% slieksni, ir uzskatāmi par papildu izdevumiem vai sadārdzinājumu, kas radies projekta īstenošanas gaitā, un finansējuma saņēmējs vai pētniecības projekta īstenotājs to sedz no saviem līdzekļiem”. Ja CFLA apstiprinātajā pētniecības projektā rodas papildus izdevumi vai sadārdzinājums, tad finansējuma saņēmējs vai pētniecības projekta īstenotājs to sedz no saviem līdzekļiem.</w:t>
            </w:r>
          </w:p>
          <w:p w:rsidR="005C215F" w:rsidRPr="005C215F" w:rsidRDefault="005C215F" w:rsidP="005C215F">
            <w:pPr>
              <w:ind w:firstLine="720"/>
              <w:jc w:val="both"/>
              <w:rPr>
                <w:rFonts w:ascii="Times New Roman" w:hAnsi="Times New Roman" w:cs="Times New Roman"/>
              </w:rPr>
            </w:pPr>
            <w:r w:rsidRPr="00A86B79">
              <w:rPr>
                <w:rFonts w:ascii="Times New Roman" w:hAnsi="Times New Roman" w:cs="Times New Roman"/>
              </w:rPr>
              <w:t xml:space="preserve">Pētījuma īstenotājam ir tiesības iesniegt jaunu pētniecības projektu </w:t>
            </w:r>
            <w:r>
              <w:rPr>
                <w:rFonts w:ascii="Times New Roman" w:hAnsi="Times New Roman" w:cs="Times New Roman"/>
              </w:rPr>
              <w:t>kompetences centram,</w:t>
            </w:r>
            <w:r w:rsidRPr="00A86B79">
              <w:rPr>
                <w:rFonts w:ascii="Times New Roman" w:hAnsi="Times New Roman" w:cs="Times New Roman"/>
              </w:rPr>
              <w:t xml:space="preserve"> ko izvērtē atbilstoši “Kārtība, kādā kompetences centrs izvērtē pētniecības projektu pieteikumus” (izstrādā </w:t>
            </w:r>
            <w:r>
              <w:rPr>
                <w:rFonts w:ascii="Times New Roman" w:hAnsi="Times New Roman" w:cs="Times New Roman"/>
              </w:rPr>
              <w:t>kompetences centrs</w:t>
            </w:r>
            <w:r w:rsidRPr="00A86B79">
              <w:rPr>
                <w:rFonts w:ascii="Times New Roman" w:hAnsi="Times New Roman" w:cs="Times New Roman"/>
              </w:rPr>
              <w:t>), iekļaujot tajā iepriekš apstiprinātā pētniecības projekta būtiskās izmaiņas un ar to saistīto finansējumu. Proti, 4.kārtas ietvaros nav iespējams palielināts finansējums jau apstiprinātajiem pētījuma projektiem, bet tiek piešķirts finansējums jauniem pētniecības projektiem līguma grozījumu ietvaros.</w:t>
            </w:r>
          </w:p>
        </w:tc>
      </w:tr>
    </w:tbl>
    <w:p w:rsidR="005C215F" w:rsidRDefault="005C215F" w:rsidP="005C215F">
      <w:pPr>
        <w:spacing w:after="0" w:line="240" w:lineRule="auto"/>
        <w:ind w:firstLine="720"/>
        <w:jc w:val="both"/>
        <w:rPr>
          <w:rFonts w:ascii="Times New Roman" w:hAnsi="Times New Roman" w:cs="Times New Roman"/>
          <w:color w:val="002060"/>
        </w:rPr>
      </w:pPr>
    </w:p>
    <w:tbl>
      <w:tblPr>
        <w:tblStyle w:val="TableGrid"/>
        <w:tblW w:w="0" w:type="auto"/>
        <w:tblLook w:val="04A0" w:firstRow="1" w:lastRow="0" w:firstColumn="1" w:lastColumn="0" w:noHBand="0" w:noVBand="1"/>
      </w:tblPr>
      <w:tblGrid>
        <w:gridCol w:w="8296"/>
      </w:tblGrid>
      <w:tr w:rsidR="00C74F97" w:rsidTr="00C74F97">
        <w:tc>
          <w:tcPr>
            <w:tcW w:w="8296" w:type="dxa"/>
            <w:shd w:val="clear" w:color="auto" w:fill="D9D9D9" w:themeFill="background1" w:themeFillShade="D9"/>
          </w:tcPr>
          <w:p w:rsidR="00C74F97" w:rsidRPr="00C74F97" w:rsidRDefault="00C74F97" w:rsidP="00C74F97">
            <w:pPr>
              <w:shd w:val="clear" w:color="auto" w:fill="D9D9D9" w:themeFill="background1" w:themeFillShade="D9"/>
              <w:rPr>
                <w:rFonts w:ascii="Times New Roman" w:hAnsi="Times New Roman" w:cs="Times New Roman"/>
                <w:b/>
              </w:rPr>
            </w:pPr>
            <w:r w:rsidRPr="00C74F97">
              <w:rPr>
                <w:rFonts w:ascii="Times New Roman" w:hAnsi="Times New Roman" w:cs="Times New Roman"/>
                <w:b/>
              </w:rPr>
              <w:t>Jautājums:</w:t>
            </w:r>
          </w:p>
        </w:tc>
      </w:tr>
      <w:tr w:rsidR="00C74F97" w:rsidTr="00C74F97">
        <w:tc>
          <w:tcPr>
            <w:tcW w:w="8296" w:type="dxa"/>
          </w:tcPr>
          <w:p w:rsidR="00C74F97" w:rsidRPr="00C74F97" w:rsidRDefault="00C74F97" w:rsidP="00C74F97">
            <w:pPr>
              <w:jc w:val="both"/>
              <w:rPr>
                <w:rFonts w:ascii="Times New Roman" w:hAnsi="Times New Roman" w:cs="Times New Roman"/>
              </w:rPr>
            </w:pPr>
            <w:r w:rsidRPr="00C74F97">
              <w:rPr>
                <w:rFonts w:ascii="Times New Roman" w:hAnsi="Times New Roman" w:cs="Times New Roman"/>
              </w:rPr>
              <w:t>Lūdzam precizēt, vai pirmā projektu atlases padome, kurā skata un lemj par pētniecības projekta pieteikuma virzīšanu uz apstiprināšanai uz sadarbības iestādi (CFLA) var tikt organizēta pēc kompetences centra un CFLA līguma noslēgšanas.</w:t>
            </w:r>
          </w:p>
        </w:tc>
      </w:tr>
      <w:tr w:rsidR="00A963CB" w:rsidTr="00A963CB">
        <w:tc>
          <w:tcPr>
            <w:tcW w:w="8296" w:type="dxa"/>
            <w:shd w:val="clear" w:color="auto" w:fill="D9D9D9" w:themeFill="background1" w:themeFillShade="D9"/>
          </w:tcPr>
          <w:p w:rsidR="00A963CB" w:rsidRPr="00A963CB" w:rsidRDefault="00A963CB" w:rsidP="00A963CB">
            <w:pPr>
              <w:shd w:val="clear" w:color="auto" w:fill="D9D9D9" w:themeFill="background1" w:themeFillShade="D9"/>
              <w:rPr>
                <w:rFonts w:ascii="Times New Roman" w:hAnsi="Times New Roman" w:cs="Times New Roman"/>
                <w:b/>
              </w:rPr>
            </w:pPr>
            <w:r w:rsidRPr="00A963CB">
              <w:rPr>
                <w:rFonts w:ascii="Times New Roman" w:hAnsi="Times New Roman" w:cs="Times New Roman"/>
                <w:b/>
              </w:rPr>
              <w:t xml:space="preserve">Atbilde: </w:t>
            </w:r>
          </w:p>
        </w:tc>
      </w:tr>
      <w:tr w:rsidR="00C74F97" w:rsidTr="00C74F97">
        <w:tc>
          <w:tcPr>
            <w:tcW w:w="8296" w:type="dxa"/>
          </w:tcPr>
          <w:p w:rsidR="00A963CB" w:rsidRPr="00A963CB" w:rsidRDefault="00A963CB" w:rsidP="00A963CB">
            <w:pPr>
              <w:jc w:val="both"/>
              <w:rPr>
                <w:rFonts w:ascii="Times New Roman" w:hAnsi="Times New Roman" w:cs="Times New Roman"/>
              </w:rPr>
            </w:pPr>
            <w:r w:rsidRPr="00A963CB">
              <w:rPr>
                <w:rFonts w:ascii="Times New Roman" w:hAnsi="Times New Roman" w:cs="Times New Roman"/>
              </w:rPr>
              <w:t>Ja pirmā projektu atlases padome, kurā skata un lemj par pētniecības projekta pieteikuma virzīšanu uz apstiprināšanai uz sadarbības iestādi (CFLA) tiks organizēta pēc kompetences centra un CFLA līguma noslēgšanas, tad:</w:t>
            </w:r>
          </w:p>
          <w:p w:rsidR="00A963CB" w:rsidRPr="00A963CB" w:rsidRDefault="00A963CB" w:rsidP="00A963CB">
            <w:pPr>
              <w:pStyle w:val="ListParagraph"/>
              <w:numPr>
                <w:ilvl w:val="0"/>
                <w:numId w:val="1"/>
              </w:numPr>
              <w:ind w:left="357" w:hanging="357"/>
              <w:jc w:val="both"/>
              <w:rPr>
                <w:rFonts w:ascii="Times New Roman" w:hAnsi="Times New Roman" w:cs="Times New Roman"/>
              </w:rPr>
            </w:pPr>
            <w:r w:rsidRPr="00A963CB">
              <w:rPr>
                <w:rFonts w:ascii="Times New Roman" w:hAnsi="Times New Roman" w:cs="Times New Roman"/>
              </w:rPr>
              <w:t>kompetences centrs var iesniegt CFLA kompetences centra projekta iesniegumu bez konkrētiem pētniecības projektiem;</w:t>
            </w:r>
          </w:p>
          <w:p w:rsidR="00C74F97" w:rsidRPr="00A963CB" w:rsidRDefault="00A963CB" w:rsidP="00A963CB">
            <w:pPr>
              <w:pStyle w:val="ListParagraph"/>
              <w:numPr>
                <w:ilvl w:val="0"/>
                <w:numId w:val="1"/>
              </w:numPr>
              <w:ind w:left="357" w:hanging="357"/>
              <w:jc w:val="both"/>
              <w:rPr>
                <w:rFonts w:ascii="Times New Roman" w:hAnsi="Times New Roman" w:cs="Times New Roman"/>
                <w:color w:val="002060"/>
              </w:rPr>
            </w:pPr>
            <w:r w:rsidRPr="00A963CB">
              <w:rPr>
                <w:rFonts w:ascii="Times New Roman" w:hAnsi="Times New Roman" w:cs="Times New Roman"/>
              </w:rPr>
              <w:t>kompetences centrs var iesniegt CFLA kompetences centra projekta iesniegumu ar apzinātām potenciālo pētniecības projektu idejām un sadarbības partneriem, kas līdz tam nebūs skatīti zinātniskajās projektu atlases padomēs. Tādā gadījumā CFLA izskatīs potenciālo pētniecības projektu idejas un pirmsšķietami izvērtēs to atbilstību valsts atbalsta normām. Vienlaikus CFLA lēmumā būs norādīts, ka CFLA lēmums par valsts atbalsta piešķiršanu stājas spēkā pēc tam, kad CFLA būs saņēmusi pētniecības projektu atlases padomes lēmumu par pētniecības projekta pieteikuma virzīšanu uz apstiprināšanai uz CFLA.</w:t>
            </w:r>
          </w:p>
        </w:tc>
      </w:tr>
    </w:tbl>
    <w:p w:rsidR="00C74F97" w:rsidRDefault="00C74F97" w:rsidP="005C215F">
      <w:pPr>
        <w:spacing w:after="0" w:line="240" w:lineRule="auto"/>
        <w:ind w:firstLine="720"/>
        <w:jc w:val="both"/>
        <w:rPr>
          <w:rFonts w:ascii="Times New Roman" w:hAnsi="Times New Roman" w:cs="Times New Roman"/>
          <w:color w:val="002060"/>
        </w:rPr>
      </w:pPr>
    </w:p>
    <w:p w:rsidR="001C7BB6" w:rsidRDefault="001C7BB6">
      <w:pPr>
        <w:rPr>
          <w:rFonts w:ascii="Times New Roman" w:hAnsi="Times New Roman" w:cs="Times New Roman"/>
          <w:color w:val="002060"/>
        </w:rPr>
      </w:pPr>
      <w:r>
        <w:rPr>
          <w:rFonts w:ascii="Times New Roman" w:hAnsi="Times New Roman" w:cs="Times New Roman"/>
          <w:color w:val="002060"/>
        </w:rPr>
        <w:br w:type="page"/>
      </w:r>
    </w:p>
    <w:tbl>
      <w:tblPr>
        <w:tblStyle w:val="TableGrid"/>
        <w:tblW w:w="0" w:type="auto"/>
        <w:tblLook w:val="04A0" w:firstRow="1" w:lastRow="0" w:firstColumn="1" w:lastColumn="0" w:noHBand="0" w:noVBand="1"/>
      </w:tblPr>
      <w:tblGrid>
        <w:gridCol w:w="8296"/>
      </w:tblGrid>
      <w:tr w:rsidR="001C7BB6" w:rsidTr="001C7BB6">
        <w:tc>
          <w:tcPr>
            <w:tcW w:w="8296" w:type="dxa"/>
            <w:shd w:val="clear" w:color="auto" w:fill="D9D9D9" w:themeFill="background1" w:themeFillShade="D9"/>
          </w:tcPr>
          <w:p w:rsidR="001C7BB6" w:rsidRPr="00AD3073" w:rsidRDefault="001C7BB6" w:rsidP="001C7BB6">
            <w:pPr>
              <w:shd w:val="clear" w:color="auto" w:fill="D9D9D9" w:themeFill="background1" w:themeFillShade="D9"/>
            </w:pPr>
            <w:r w:rsidRPr="001C7BB6">
              <w:rPr>
                <w:rFonts w:ascii="Times New Roman" w:hAnsi="Times New Roman" w:cs="Times New Roman"/>
                <w:b/>
              </w:rPr>
              <w:lastRenderedPageBreak/>
              <w:t>Jautājums</w:t>
            </w:r>
            <w:r w:rsidRPr="00AD3073">
              <w:t>:</w:t>
            </w:r>
          </w:p>
        </w:tc>
      </w:tr>
      <w:tr w:rsidR="009B05C6" w:rsidRPr="009B05C6" w:rsidTr="001C7BB6">
        <w:tc>
          <w:tcPr>
            <w:tcW w:w="8296" w:type="dxa"/>
          </w:tcPr>
          <w:p w:rsidR="00773E1D" w:rsidRPr="009B05C6" w:rsidRDefault="00773E1D" w:rsidP="00773E1D">
            <w:pPr>
              <w:jc w:val="both"/>
              <w:rPr>
                <w:rFonts w:ascii="Times New Roman" w:hAnsi="Times New Roman" w:cs="Times New Roman"/>
              </w:rPr>
            </w:pPr>
            <w:r w:rsidRPr="009B05C6">
              <w:rPr>
                <w:rFonts w:ascii="Times New Roman" w:hAnsi="Times New Roman" w:cs="Times New Roman"/>
              </w:rPr>
              <w:t>MK noteikumu Nr. 2 25. punktā noteikts, ka “Ceturtajā kārtā atbalsts tiek sniegts tikai tādām pētniecības projekta vai projekta iesnieguma darbībām, kas tiek uzsāktas pēc projekta iesnieguma vai pētniecības projekta iesnieguma iesniegšanas dienas sadarbības iestādē. Ceturtajā kārtā izmaksu attiecināmība sākas no projekta iesnieguma vai pētniecības projekta iesnieguma iesniegšanas dienas sadarbības iestādē”.</w:t>
            </w:r>
          </w:p>
          <w:p w:rsidR="001C7BB6" w:rsidRPr="009B05C6" w:rsidRDefault="00773E1D" w:rsidP="003A4600">
            <w:pPr>
              <w:jc w:val="both"/>
              <w:rPr>
                <w:rFonts w:ascii="Times New Roman" w:hAnsi="Times New Roman" w:cs="Times New Roman"/>
              </w:rPr>
            </w:pPr>
            <w:r w:rsidRPr="009B05C6">
              <w:rPr>
                <w:rFonts w:ascii="Times New Roman" w:hAnsi="Times New Roman" w:cs="Times New Roman"/>
              </w:rPr>
              <w:t xml:space="preserve">Kāda varētu būt notikumu secība ar provizoriskiem datumiem, kas atbilstu </w:t>
            </w:r>
            <w:r w:rsidR="005B30F2">
              <w:rPr>
                <w:rFonts w:ascii="Times New Roman" w:hAnsi="Times New Roman" w:cs="Times New Roman"/>
              </w:rPr>
              <w:t>MK noteikumu Nr.2 25.punktā noteikta</w:t>
            </w:r>
            <w:r w:rsidR="003A4600">
              <w:rPr>
                <w:rFonts w:ascii="Times New Roman" w:hAnsi="Times New Roman" w:cs="Times New Roman"/>
              </w:rPr>
              <w:t>m</w:t>
            </w:r>
            <w:r w:rsidRPr="009B05C6">
              <w:rPr>
                <w:rFonts w:ascii="Times New Roman" w:hAnsi="Times New Roman" w:cs="Times New Roman"/>
              </w:rPr>
              <w:t>?</w:t>
            </w:r>
          </w:p>
        </w:tc>
      </w:tr>
      <w:tr w:rsidR="009B05C6" w:rsidRPr="009B05C6" w:rsidTr="001C7BB6">
        <w:tc>
          <w:tcPr>
            <w:tcW w:w="8296" w:type="dxa"/>
            <w:shd w:val="clear" w:color="auto" w:fill="D9D9D9" w:themeFill="background1" w:themeFillShade="D9"/>
          </w:tcPr>
          <w:p w:rsidR="001C7BB6" w:rsidRPr="009B05C6" w:rsidRDefault="001C7BB6" w:rsidP="001C7BB6">
            <w:pPr>
              <w:shd w:val="clear" w:color="auto" w:fill="D9D9D9" w:themeFill="background1" w:themeFillShade="D9"/>
            </w:pPr>
            <w:r w:rsidRPr="009B05C6">
              <w:rPr>
                <w:rFonts w:ascii="Times New Roman" w:hAnsi="Times New Roman" w:cs="Times New Roman"/>
                <w:b/>
              </w:rPr>
              <w:t>Atbilde</w:t>
            </w:r>
            <w:r w:rsidRPr="009B05C6">
              <w:t>:</w:t>
            </w:r>
          </w:p>
        </w:tc>
      </w:tr>
      <w:tr w:rsidR="009B05C6" w:rsidRPr="009B05C6" w:rsidTr="00773E1D">
        <w:tc>
          <w:tcPr>
            <w:tcW w:w="8296" w:type="dxa"/>
            <w:shd w:val="clear" w:color="auto" w:fill="auto"/>
          </w:tcPr>
          <w:p w:rsidR="00B12404" w:rsidRPr="00B12404" w:rsidRDefault="00B12404" w:rsidP="00B12404">
            <w:pPr>
              <w:jc w:val="both"/>
              <w:rPr>
                <w:rFonts w:ascii="Times New Roman" w:hAnsi="Times New Roman" w:cs="Times New Roman"/>
              </w:rPr>
            </w:pPr>
            <w:r w:rsidRPr="00B12404">
              <w:rPr>
                <w:rFonts w:ascii="Times New Roman" w:hAnsi="Times New Roman" w:cs="Times New Roman"/>
              </w:rPr>
              <w:t>Atbilstoši MK noteikumu Nr.2 25.punktā noteiktam, notikumu secība ar provizoriskiem datumiem varētu būt šāda:</w:t>
            </w:r>
          </w:p>
          <w:p w:rsidR="00B12404" w:rsidRPr="00B12404" w:rsidRDefault="00B12404" w:rsidP="00B12404">
            <w:pPr>
              <w:pStyle w:val="ListParagraph"/>
              <w:numPr>
                <w:ilvl w:val="0"/>
                <w:numId w:val="6"/>
              </w:numPr>
              <w:ind w:left="527" w:hanging="357"/>
              <w:jc w:val="both"/>
              <w:rPr>
                <w:rFonts w:ascii="Times New Roman" w:hAnsi="Times New Roman" w:cs="Times New Roman"/>
              </w:rPr>
            </w:pPr>
            <w:r w:rsidRPr="00B12404">
              <w:rPr>
                <w:rFonts w:ascii="Times New Roman" w:hAnsi="Times New Roman" w:cs="Times New Roman"/>
              </w:rPr>
              <w:t xml:space="preserve">līdz 2018.gada 22.novembrim kompetences centrs iesniedz CFLA pētījuma projekta pieteikumu vai apstiprināto pētījumu projektu pieteikumu; </w:t>
            </w:r>
          </w:p>
          <w:p w:rsidR="00B12404" w:rsidRPr="00B12404" w:rsidRDefault="00B12404" w:rsidP="00B12404">
            <w:pPr>
              <w:pStyle w:val="ListParagraph"/>
              <w:numPr>
                <w:ilvl w:val="0"/>
                <w:numId w:val="6"/>
              </w:numPr>
              <w:ind w:left="527" w:hanging="357"/>
              <w:jc w:val="both"/>
              <w:rPr>
                <w:rFonts w:ascii="Times New Roman" w:hAnsi="Times New Roman" w:cs="Times New Roman"/>
              </w:rPr>
            </w:pPr>
            <w:r w:rsidRPr="00B12404">
              <w:rPr>
                <w:rFonts w:ascii="Times New Roman" w:hAnsi="Times New Roman" w:cs="Times New Roman"/>
              </w:rPr>
              <w:t>no 2018.gada 22.novembra līdz 2019.gada 22.februārim (vēlākais) CFLA izskata iesniegtos pētījuma projekta pieteikumus vai apstiprināto pētījumu projektu pieteikumu;</w:t>
            </w:r>
          </w:p>
          <w:p w:rsidR="00B12404" w:rsidRPr="00B12404" w:rsidRDefault="00B12404" w:rsidP="00B12404">
            <w:pPr>
              <w:pStyle w:val="ListParagraph"/>
              <w:numPr>
                <w:ilvl w:val="0"/>
                <w:numId w:val="6"/>
              </w:numPr>
              <w:ind w:left="527" w:hanging="357"/>
              <w:jc w:val="both"/>
              <w:rPr>
                <w:rFonts w:ascii="Times New Roman" w:hAnsi="Times New Roman" w:cs="Times New Roman"/>
              </w:rPr>
            </w:pPr>
            <w:r w:rsidRPr="00B12404">
              <w:rPr>
                <w:rFonts w:ascii="Times New Roman" w:hAnsi="Times New Roman" w:cs="Times New Roman"/>
              </w:rPr>
              <w:t>no 2019.gada 22.februāra CFLA slēdz līgumu ar kompetences centru (pie nosacījuma, ka pētījuma projekta pieteikums vai apstiprināt</w:t>
            </w:r>
            <w:r>
              <w:rPr>
                <w:rFonts w:ascii="Times New Roman" w:hAnsi="Times New Roman" w:cs="Times New Roman"/>
              </w:rPr>
              <w:t>ais</w:t>
            </w:r>
            <w:r w:rsidRPr="00B12404">
              <w:rPr>
                <w:rFonts w:ascii="Times New Roman" w:hAnsi="Times New Roman" w:cs="Times New Roman"/>
              </w:rPr>
              <w:t xml:space="preserve"> pētījumu projektu pieteikums netiek noraidīts) par projekta īstenošanu.</w:t>
            </w:r>
          </w:p>
          <w:p w:rsidR="00B12404" w:rsidRPr="00900E80" w:rsidRDefault="00B12404" w:rsidP="00B12404">
            <w:pPr>
              <w:jc w:val="both"/>
              <w:rPr>
                <w:rFonts w:ascii="Times New Roman" w:hAnsi="Times New Roman" w:cs="Times New Roman"/>
                <w:i/>
              </w:rPr>
            </w:pPr>
          </w:p>
          <w:p w:rsidR="00B12404" w:rsidRPr="00900E80" w:rsidRDefault="00B12404" w:rsidP="00B12404">
            <w:pPr>
              <w:jc w:val="both"/>
              <w:rPr>
                <w:rFonts w:ascii="Times New Roman" w:hAnsi="Times New Roman" w:cs="Times New Roman"/>
                <w:i/>
              </w:rPr>
            </w:pPr>
            <w:r w:rsidRPr="00900E80">
              <w:rPr>
                <w:rFonts w:ascii="Times New Roman" w:hAnsi="Times New Roman" w:cs="Times New Roman"/>
                <w:i/>
              </w:rPr>
              <w:t>Vēršam uzmanību, lai izvairītos no izmaksu neattiecināmības, ja pētniecības projekta pieteikums netiek apstiprināts CFLA, tad pētniecības projekta sākumu datumu ieteicams norādīt 2019.gada martu.</w:t>
            </w:r>
          </w:p>
          <w:p w:rsidR="00773E1D" w:rsidRPr="009B05C6" w:rsidRDefault="00773E1D" w:rsidP="00773E1D">
            <w:pPr>
              <w:jc w:val="both"/>
              <w:rPr>
                <w:rFonts w:ascii="Times New Roman" w:hAnsi="Times New Roman" w:cs="Times New Roman"/>
                <w:b/>
              </w:rPr>
            </w:pPr>
          </w:p>
        </w:tc>
      </w:tr>
    </w:tbl>
    <w:p w:rsidR="001C7BB6" w:rsidRDefault="001C7BB6" w:rsidP="003642FF">
      <w:pPr>
        <w:spacing w:after="0" w:line="240" w:lineRule="auto"/>
        <w:ind w:firstLine="720"/>
        <w:rPr>
          <w:rFonts w:ascii="Times New Roman" w:hAnsi="Times New Roman" w:cs="Times New Roman"/>
          <w:color w:val="002060"/>
        </w:rPr>
      </w:pPr>
    </w:p>
    <w:p w:rsidR="00070EF8" w:rsidRPr="00A86B79" w:rsidRDefault="00070EF8" w:rsidP="00070EF8">
      <w:pPr>
        <w:spacing w:after="0" w:line="240" w:lineRule="auto"/>
        <w:jc w:val="right"/>
        <w:rPr>
          <w:rFonts w:ascii="Times New Roman" w:hAnsi="Times New Roman" w:cs="Times New Roman"/>
          <w:i/>
        </w:rPr>
      </w:pPr>
      <w:r w:rsidRPr="00A86B79">
        <w:rPr>
          <w:rFonts w:ascii="Times New Roman" w:hAnsi="Times New Roman" w:cs="Times New Roman"/>
          <w:i/>
        </w:rPr>
        <w:t xml:space="preserve">Sagatavots </w:t>
      </w:r>
      <w:r>
        <w:rPr>
          <w:rFonts w:ascii="Times New Roman" w:hAnsi="Times New Roman" w:cs="Times New Roman"/>
          <w:i/>
        </w:rPr>
        <w:t>1</w:t>
      </w:r>
      <w:r w:rsidR="00876301">
        <w:rPr>
          <w:rFonts w:ascii="Times New Roman" w:hAnsi="Times New Roman" w:cs="Times New Roman"/>
          <w:i/>
        </w:rPr>
        <w:t>6</w:t>
      </w:r>
      <w:bookmarkStart w:id="0" w:name="_GoBack"/>
      <w:bookmarkEnd w:id="0"/>
      <w:r>
        <w:rPr>
          <w:rFonts w:ascii="Times New Roman" w:hAnsi="Times New Roman" w:cs="Times New Roman"/>
          <w:i/>
        </w:rPr>
        <w:t>.11</w:t>
      </w:r>
      <w:r w:rsidRPr="00A86B79">
        <w:rPr>
          <w:rFonts w:ascii="Times New Roman" w:hAnsi="Times New Roman" w:cs="Times New Roman"/>
          <w:i/>
        </w:rPr>
        <w:t>.2018</w:t>
      </w:r>
    </w:p>
    <w:tbl>
      <w:tblPr>
        <w:tblStyle w:val="TableGrid"/>
        <w:tblW w:w="0" w:type="auto"/>
        <w:tblLook w:val="04A0" w:firstRow="1" w:lastRow="0" w:firstColumn="1" w:lastColumn="0" w:noHBand="0" w:noVBand="1"/>
      </w:tblPr>
      <w:tblGrid>
        <w:gridCol w:w="8296"/>
      </w:tblGrid>
      <w:tr w:rsidR="00070EF8" w:rsidTr="00070EF8">
        <w:tc>
          <w:tcPr>
            <w:tcW w:w="8296" w:type="dxa"/>
            <w:shd w:val="clear" w:color="auto" w:fill="D9D9D9" w:themeFill="background1" w:themeFillShade="D9"/>
          </w:tcPr>
          <w:p w:rsidR="00070EF8" w:rsidRDefault="00070EF8" w:rsidP="00070EF8">
            <w:pPr>
              <w:shd w:val="clear" w:color="auto" w:fill="D9D9D9" w:themeFill="background1" w:themeFillShade="D9"/>
              <w:rPr>
                <w:rFonts w:ascii="Times New Roman" w:hAnsi="Times New Roman" w:cs="Times New Roman"/>
                <w:color w:val="002060"/>
              </w:rPr>
            </w:pPr>
            <w:r w:rsidRPr="001C7BB6">
              <w:rPr>
                <w:rFonts w:ascii="Times New Roman" w:hAnsi="Times New Roman" w:cs="Times New Roman"/>
                <w:b/>
              </w:rPr>
              <w:t>Jautājums</w:t>
            </w:r>
            <w:r w:rsidRPr="00AD3073">
              <w:t>:</w:t>
            </w:r>
          </w:p>
        </w:tc>
      </w:tr>
      <w:tr w:rsidR="00070EF8" w:rsidTr="00070EF8">
        <w:tc>
          <w:tcPr>
            <w:tcW w:w="8296" w:type="dxa"/>
          </w:tcPr>
          <w:p w:rsidR="00070EF8" w:rsidRDefault="00070EF8" w:rsidP="00070EF8">
            <w:pPr>
              <w:jc w:val="both"/>
              <w:rPr>
                <w:rFonts w:ascii="Times New Roman" w:hAnsi="Times New Roman" w:cs="Times New Roman"/>
                <w:color w:val="002060"/>
              </w:rPr>
            </w:pPr>
            <w:r w:rsidRPr="00070EF8">
              <w:rPr>
                <w:rFonts w:ascii="Times New Roman" w:hAnsi="Times New Roman" w:cs="Times New Roman"/>
              </w:rPr>
              <w:t xml:space="preserve">Pirmajos 18 mēnešos </w:t>
            </w:r>
            <w:r>
              <w:rPr>
                <w:rFonts w:ascii="Times New Roman" w:hAnsi="Times New Roman" w:cs="Times New Roman"/>
              </w:rPr>
              <w:t>kompetences centrs p</w:t>
            </w:r>
            <w:r w:rsidRPr="00070EF8">
              <w:rPr>
                <w:rFonts w:ascii="Times New Roman" w:hAnsi="Times New Roman" w:cs="Times New Roman"/>
              </w:rPr>
              <w:t>araksta līgumus par pētījumu par 80% pieejamo ERAF (nozares un starpnozares projektiem), vai kādam individuālam pētījumam piešķirtā atbalsta summa nozares pētījumam/-iem var būt līdz 25% no 100% nozares pētījumu summas jeb 3,2 milj. EUR?</w:t>
            </w:r>
          </w:p>
        </w:tc>
      </w:tr>
      <w:tr w:rsidR="00070EF8" w:rsidTr="00070EF8">
        <w:tc>
          <w:tcPr>
            <w:tcW w:w="8296" w:type="dxa"/>
            <w:shd w:val="clear" w:color="auto" w:fill="D9D9D9" w:themeFill="background1" w:themeFillShade="D9"/>
          </w:tcPr>
          <w:p w:rsidR="00070EF8" w:rsidRDefault="00070EF8" w:rsidP="00070EF8">
            <w:pPr>
              <w:shd w:val="clear" w:color="auto" w:fill="D9D9D9" w:themeFill="background1" w:themeFillShade="D9"/>
              <w:rPr>
                <w:rFonts w:ascii="Times New Roman" w:hAnsi="Times New Roman" w:cs="Times New Roman"/>
                <w:color w:val="002060"/>
              </w:rPr>
            </w:pPr>
            <w:r w:rsidRPr="009B05C6">
              <w:rPr>
                <w:rFonts w:ascii="Times New Roman" w:hAnsi="Times New Roman" w:cs="Times New Roman"/>
                <w:b/>
              </w:rPr>
              <w:t>Atbilde</w:t>
            </w:r>
            <w:r w:rsidRPr="009B05C6">
              <w:t>:</w:t>
            </w:r>
          </w:p>
        </w:tc>
      </w:tr>
      <w:tr w:rsidR="00070EF8" w:rsidTr="00070EF8">
        <w:tc>
          <w:tcPr>
            <w:tcW w:w="8296" w:type="dxa"/>
          </w:tcPr>
          <w:p w:rsidR="00070EF8" w:rsidRDefault="00070EF8" w:rsidP="00070EF8">
            <w:pPr>
              <w:jc w:val="both"/>
              <w:rPr>
                <w:rFonts w:ascii="Times New Roman" w:hAnsi="Times New Roman" w:cs="Times New Roman"/>
                <w:color w:val="002060"/>
              </w:rPr>
            </w:pPr>
            <w:r w:rsidRPr="00070EF8">
              <w:rPr>
                <w:rFonts w:ascii="Times New Roman" w:hAnsi="Times New Roman" w:cs="Times New Roman"/>
              </w:rPr>
              <w:t>Vienam komersantam nozares projektiem šobrīd var piešķirt ne vairāk kā 25% no 80% no 3 206 250 euro = 641 250 euro. Tad, kad būs pieejami atlikušie 20%, tad arī no tiem vienam komersantam varēs piešķirt ne vairāk kā 25%. Tas pats attiecās arī uz starpnozaru projektiem.</w:t>
            </w:r>
          </w:p>
        </w:tc>
      </w:tr>
    </w:tbl>
    <w:p w:rsidR="002F0A0D" w:rsidRDefault="002F0A0D" w:rsidP="00070EF8">
      <w:pPr>
        <w:spacing w:after="0" w:line="240" w:lineRule="auto"/>
        <w:ind w:firstLine="720"/>
        <w:jc w:val="right"/>
        <w:rPr>
          <w:rFonts w:ascii="Times New Roman" w:hAnsi="Times New Roman" w:cs="Times New Roman"/>
          <w:color w:val="002060"/>
        </w:rPr>
      </w:pPr>
    </w:p>
    <w:p w:rsidR="00070EF8" w:rsidRDefault="00070EF8" w:rsidP="00070EF8">
      <w:pPr>
        <w:spacing w:after="0" w:line="240" w:lineRule="auto"/>
        <w:ind w:firstLine="720"/>
        <w:jc w:val="right"/>
        <w:rPr>
          <w:rFonts w:ascii="Times New Roman" w:hAnsi="Times New Roman" w:cs="Times New Roman"/>
          <w:color w:val="002060"/>
        </w:rPr>
      </w:pPr>
    </w:p>
    <w:tbl>
      <w:tblPr>
        <w:tblStyle w:val="TableGrid"/>
        <w:tblW w:w="0" w:type="auto"/>
        <w:tblLook w:val="04A0" w:firstRow="1" w:lastRow="0" w:firstColumn="1" w:lastColumn="0" w:noHBand="0" w:noVBand="1"/>
      </w:tblPr>
      <w:tblGrid>
        <w:gridCol w:w="8296"/>
      </w:tblGrid>
      <w:tr w:rsidR="00070EF8" w:rsidTr="00070EF8">
        <w:tc>
          <w:tcPr>
            <w:tcW w:w="8296" w:type="dxa"/>
            <w:shd w:val="clear" w:color="auto" w:fill="D9D9D9" w:themeFill="background1" w:themeFillShade="D9"/>
          </w:tcPr>
          <w:p w:rsidR="00070EF8" w:rsidRPr="00371855" w:rsidRDefault="00070EF8" w:rsidP="00070EF8">
            <w:pPr>
              <w:shd w:val="clear" w:color="auto" w:fill="D9D9D9" w:themeFill="background1" w:themeFillShade="D9"/>
              <w:rPr>
                <w:rFonts w:ascii="Times New Roman" w:hAnsi="Times New Roman" w:cs="Times New Roman"/>
              </w:rPr>
            </w:pPr>
            <w:r w:rsidRPr="00371855">
              <w:rPr>
                <w:rFonts w:ascii="Times New Roman" w:hAnsi="Times New Roman" w:cs="Times New Roman"/>
                <w:b/>
              </w:rPr>
              <w:t>Jautājums</w:t>
            </w:r>
            <w:r w:rsidRPr="00371855">
              <w:t>:</w:t>
            </w:r>
          </w:p>
        </w:tc>
      </w:tr>
      <w:tr w:rsidR="00070EF8" w:rsidTr="00070EF8">
        <w:tc>
          <w:tcPr>
            <w:tcW w:w="8296" w:type="dxa"/>
          </w:tcPr>
          <w:p w:rsidR="00070EF8" w:rsidRPr="00371855" w:rsidRDefault="00C30F84" w:rsidP="00B54F5B">
            <w:pPr>
              <w:jc w:val="both"/>
              <w:rPr>
                <w:rFonts w:ascii="Times New Roman" w:hAnsi="Times New Roman" w:cs="Times New Roman"/>
              </w:rPr>
            </w:pPr>
            <w:r w:rsidRPr="00371855">
              <w:rPr>
                <w:rFonts w:ascii="Times New Roman" w:hAnsi="Times New Roman" w:cs="Times New Roman"/>
              </w:rPr>
              <w:t>Vai kompetences centra attīstības stratēģijā obligāti jābūt norādītam</w:t>
            </w:r>
            <w:r w:rsidR="00B54F5B" w:rsidRPr="00371855">
              <w:rPr>
                <w:rFonts w:ascii="Times New Roman" w:hAnsi="Times New Roman" w:cs="Times New Roman"/>
              </w:rPr>
              <w:t>, ka</w:t>
            </w:r>
            <w:r w:rsidRPr="00371855">
              <w:rPr>
                <w:rFonts w:ascii="Times New Roman" w:hAnsi="Times New Roman" w:cs="Times New Roman"/>
              </w:rPr>
              <w:t xml:space="preserve"> kompetences centrs sasniegs viedās specializācijas stratēģijas rādītāju vērtību līdz 2020.gadam?</w:t>
            </w:r>
          </w:p>
        </w:tc>
      </w:tr>
      <w:tr w:rsidR="00070EF8" w:rsidTr="00070EF8">
        <w:tc>
          <w:tcPr>
            <w:tcW w:w="8296" w:type="dxa"/>
            <w:shd w:val="clear" w:color="auto" w:fill="D9D9D9" w:themeFill="background1" w:themeFillShade="D9"/>
          </w:tcPr>
          <w:p w:rsidR="00070EF8" w:rsidRPr="00371855" w:rsidRDefault="00070EF8" w:rsidP="00070EF8">
            <w:pPr>
              <w:shd w:val="clear" w:color="auto" w:fill="D9D9D9" w:themeFill="background1" w:themeFillShade="D9"/>
              <w:rPr>
                <w:rFonts w:ascii="Times New Roman" w:hAnsi="Times New Roman" w:cs="Times New Roman"/>
              </w:rPr>
            </w:pPr>
            <w:r w:rsidRPr="00371855">
              <w:rPr>
                <w:rFonts w:ascii="Times New Roman" w:hAnsi="Times New Roman" w:cs="Times New Roman"/>
                <w:b/>
              </w:rPr>
              <w:t>Jautājums</w:t>
            </w:r>
            <w:r w:rsidRPr="00371855">
              <w:t>:</w:t>
            </w:r>
          </w:p>
        </w:tc>
      </w:tr>
      <w:tr w:rsidR="00070EF8" w:rsidTr="00070EF8">
        <w:tc>
          <w:tcPr>
            <w:tcW w:w="8296" w:type="dxa"/>
          </w:tcPr>
          <w:p w:rsidR="00070EF8" w:rsidRPr="00371855" w:rsidRDefault="00784B82" w:rsidP="00371855">
            <w:pPr>
              <w:rPr>
                <w:rFonts w:ascii="Times New Roman" w:hAnsi="Times New Roman" w:cs="Times New Roman"/>
              </w:rPr>
            </w:pPr>
            <w:r w:rsidRPr="00371855">
              <w:rPr>
                <w:rFonts w:ascii="Times New Roman" w:hAnsi="Times New Roman" w:cs="Times New Roman"/>
              </w:rPr>
              <w:t xml:space="preserve">Kompetences centra attīstības stratēģijā ir nepieciešams aprakstīt kā kompetences centrs </w:t>
            </w:r>
            <w:r w:rsidRPr="00371855">
              <w:rPr>
                <w:rFonts w:ascii="Times New Roman" w:hAnsi="Times New Roman" w:cs="Times New Roman"/>
                <w:u w:val="single"/>
              </w:rPr>
              <w:t>veicinās</w:t>
            </w:r>
            <w:r w:rsidRPr="00371855">
              <w:rPr>
                <w:rFonts w:ascii="Times New Roman" w:hAnsi="Times New Roman" w:cs="Times New Roman"/>
              </w:rPr>
              <w:t xml:space="preserve"> kvalitātes kritērijā Nr.1.4. “Kompetences centra ieguldījums Latvijas viedās specializācijas stratēģijas rādītāju mērķu vērtību sasniegšanā, kompetences centra sasniedzamie uzraudzības rādītāji un stratēģija kā kompetences centrs sasniegs nodefinētos uzraudzības rādītājus” viedās specializācijas stratēģijas rā</w:t>
            </w:r>
            <w:r w:rsidR="004809A3" w:rsidRPr="00371855">
              <w:rPr>
                <w:rFonts w:ascii="Times New Roman" w:hAnsi="Times New Roman" w:cs="Times New Roman"/>
              </w:rPr>
              <w:t>dī</w:t>
            </w:r>
            <w:r w:rsidRPr="00371855">
              <w:rPr>
                <w:rFonts w:ascii="Times New Roman" w:hAnsi="Times New Roman" w:cs="Times New Roman"/>
              </w:rPr>
              <w:t xml:space="preserve">tāju vērtību sasniegšanu līdz </w:t>
            </w:r>
            <w:r w:rsidR="00041EC7" w:rsidRPr="00371855">
              <w:rPr>
                <w:rFonts w:ascii="Times New Roman" w:hAnsi="Times New Roman" w:cs="Times New Roman"/>
              </w:rPr>
              <w:t>2020.gadam</w:t>
            </w:r>
            <w:r w:rsidR="004809A3" w:rsidRPr="00371855">
              <w:rPr>
                <w:rFonts w:ascii="Times New Roman" w:hAnsi="Times New Roman" w:cs="Times New Roman"/>
              </w:rPr>
              <w:t xml:space="preserve">. Proti, </w:t>
            </w:r>
            <w:r w:rsidR="006B5413" w:rsidRPr="00371855">
              <w:rPr>
                <w:rFonts w:ascii="Times New Roman" w:hAnsi="Times New Roman" w:cs="Times New Roman"/>
              </w:rPr>
              <w:t xml:space="preserve">kvalitātes kritērija Nr.1.4. norādītais laika posms (līdz 2020.gadam) ir </w:t>
            </w:r>
            <w:r w:rsidR="00371855" w:rsidRPr="00371855">
              <w:rPr>
                <w:rFonts w:ascii="Times New Roman" w:hAnsi="Times New Roman" w:cs="Times New Roman"/>
              </w:rPr>
              <w:t>noteikts kā starpposms attiecīgu rādītāju vērtību sasniegšanas veicināšanai, tādējādi lūgums iekļaut to kompetences centra attīstības stratēģijā.</w:t>
            </w:r>
          </w:p>
        </w:tc>
      </w:tr>
    </w:tbl>
    <w:p w:rsidR="00070EF8" w:rsidRDefault="00070EF8" w:rsidP="00070EF8">
      <w:pPr>
        <w:spacing w:after="0" w:line="240" w:lineRule="auto"/>
        <w:ind w:firstLine="720"/>
        <w:jc w:val="right"/>
        <w:rPr>
          <w:rFonts w:ascii="Times New Roman" w:hAnsi="Times New Roman" w:cs="Times New Roman"/>
          <w:color w:val="002060"/>
        </w:rPr>
      </w:pPr>
    </w:p>
    <w:sectPr w:rsidR="00070E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C4A0D"/>
    <w:multiLevelType w:val="hybridMultilevel"/>
    <w:tmpl w:val="450072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8474CE"/>
    <w:multiLevelType w:val="hybridMultilevel"/>
    <w:tmpl w:val="96769DA8"/>
    <w:lvl w:ilvl="0" w:tplc="81F89D1A">
      <w:numFmt w:val="bullet"/>
      <w:lvlText w:val="•"/>
      <w:lvlJc w:val="left"/>
      <w:pPr>
        <w:ind w:left="1440" w:hanging="72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3ACE327A"/>
    <w:multiLevelType w:val="hybridMultilevel"/>
    <w:tmpl w:val="7BB8E7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9A2C50"/>
    <w:multiLevelType w:val="hybridMultilevel"/>
    <w:tmpl w:val="7708C81A"/>
    <w:lvl w:ilvl="0" w:tplc="C616C184">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3A06DB"/>
    <w:multiLevelType w:val="hybridMultilevel"/>
    <w:tmpl w:val="E500C3FA"/>
    <w:lvl w:ilvl="0" w:tplc="E3E216FC">
      <w:start w:val="1"/>
      <w:numFmt w:val="lowerLetter"/>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22"/>
    <w:rsid w:val="00041EC7"/>
    <w:rsid w:val="00044F9A"/>
    <w:rsid w:val="00070EF8"/>
    <w:rsid w:val="000C0822"/>
    <w:rsid w:val="00154522"/>
    <w:rsid w:val="001C7BB6"/>
    <w:rsid w:val="002F0A0D"/>
    <w:rsid w:val="003642FF"/>
    <w:rsid w:val="00371855"/>
    <w:rsid w:val="003A4600"/>
    <w:rsid w:val="003B3A61"/>
    <w:rsid w:val="00413CB7"/>
    <w:rsid w:val="00414D0C"/>
    <w:rsid w:val="004809A3"/>
    <w:rsid w:val="005A6AA1"/>
    <w:rsid w:val="005B30F2"/>
    <w:rsid w:val="005C215F"/>
    <w:rsid w:val="00611801"/>
    <w:rsid w:val="00624299"/>
    <w:rsid w:val="006528DC"/>
    <w:rsid w:val="006B5413"/>
    <w:rsid w:val="007633E7"/>
    <w:rsid w:val="00773E1D"/>
    <w:rsid w:val="00784B82"/>
    <w:rsid w:val="007F12DE"/>
    <w:rsid w:val="00876301"/>
    <w:rsid w:val="008A47EC"/>
    <w:rsid w:val="00900E80"/>
    <w:rsid w:val="0092517B"/>
    <w:rsid w:val="009B05C6"/>
    <w:rsid w:val="009E42A5"/>
    <w:rsid w:val="00A21949"/>
    <w:rsid w:val="00A86B79"/>
    <w:rsid w:val="00A93040"/>
    <w:rsid w:val="00A963CB"/>
    <w:rsid w:val="00B12404"/>
    <w:rsid w:val="00B54F5B"/>
    <w:rsid w:val="00B82386"/>
    <w:rsid w:val="00C30F84"/>
    <w:rsid w:val="00C4340D"/>
    <w:rsid w:val="00C74F97"/>
    <w:rsid w:val="00E17193"/>
    <w:rsid w:val="00E35D3B"/>
    <w:rsid w:val="00E47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54685-8C74-4D66-AC92-24B06B1F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89838">
      <w:bodyDiv w:val="1"/>
      <w:marLeft w:val="0"/>
      <w:marRight w:val="0"/>
      <w:marTop w:val="0"/>
      <w:marBottom w:val="0"/>
      <w:divBdr>
        <w:top w:val="none" w:sz="0" w:space="0" w:color="auto"/>
        <w:left w:val="none" w:sz="0" w:space="0" w:color="auto"/>
        <w:bottom w:val="none" w:sz="0" w:space="0" w:color="auto"/>
        <w:right w:val="none" w:sz="0" w:space="0" w:color="auto"/>
      </w:divBdr>
    </w:div>
    <w:div w:id="2029527510">
      <w:bodyDiv w:val="1"/>
      <w:marLeft w:val="0"/>
      <w:marRight w:val="0"/>
      <w:marTop w:val="0"/>
      <w:marBottom w:val="0"/>
      <w:divBdr>
        <w:top w:val="none" w:sz="0" w:space="0" w:color="auto"/>
        <w:left w:val="none" w:sz="0" w:space="0" w:color="auto"/>
        <w:bottom w:val="none" w:sz="0" w:space="0" w:color="auto"/>
        <w:right w:val="none" w:sz="0" w:space="0" w:color="auto"/>
      </w:divBdr>
    </w:div>
    <w:div w:id="20552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768F8-6B23-474E-A0B8-F1D8A67B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8697</Words>
  <Characters>4958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Čekanovska</dc:creator>
  <cp:keywords/>
  <dc:description/>
  <cp:lastModifiedBy>Sanita Čekanovska</cp:lastModifiedBy>
  <cp:revision>35</cp:revision>
  <dcterms:created xsi:type="dcterms:W3CDTF">2018-11-06T07:27:00Z</dcterms:created>
  <dcterms:modified xsi:type="dcterms:W3CDTF">2018-11-16T09:17:00Z</dcterms:modified>
</cp:coreProperties>
</file>