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33A" w:rsidRPr="00BD736B" w:rsidRDefault="00CB738F" w:rsidP="00C35BC1">
      <w:pPr>
        <w:jc w:val="right"/>
        <w:rPr>
          <w:rFonts w:ascii="Times New Roman" w:hAnsi="Times New Roman" w:cs="Times New Roman"/>
          <w:sz w:val="24"/>
          <w:szCs w:val="24"/>
        </w:rPr>
      </w:pPr>
      <w:commentRangeStart w:id="0"/>
      <w:r>
        <w:rPr>
          <w:rFonts w:ascii="Times New Roman" w:hAnsi="Times New Roman"/>
          <w:sz w:val="24"/>
        </w:rPr>
        <w:t>Annex 4</w:t>
      </w:r>
      <w:commentRangeEnd w:id="0"/>
      <w:r>
        <w:rPr>
          <w:rStyle w:val="CommentReference"/>
        </w:rPr>
        <w:commentReference w:id="0"/>
      </w:r>
    </w:p>
    <w:p w:rsidR="002E033A" w:rsidRPr="00BD736B" w:rsidRDefault="00882AB8" w:rsidP="00C35BC1">
      <w:pPr>
        <w:jc w:val="right"/>
        <w:rPr>
          <w:rFonts w:ascii="Times New Roman" w:hAnsi="Times New Roman" w:cs="Times New Roman"/>
          <w:sz w:val="24"/>
          <w:szCs w:val="24"/>
        </w:rPr>
      </w:pPr>
      <w:r>
        <w:rPr>
          <w:rFonts w:ascii="Times New Roman" w:hAnsi="Times New Roman"/>
          <w:sz w:val="24"/>
        </w:rPr>
        <w:t>To the Project Application</w:t>
      </w:r>
    </w:p>
    <w:p w:rsidR="002E033A" w:rsidRPr="00BD736B" w:rsidRDefault="002E033A" w:rsidP="00C35BC1">
      <w:pPr>
        <w:jc w:val="center"/>
        <w:rPr>
          <w:rFonts w:ascii="Times New Roman" w:hAnsi="Times New Roman" w:cs="Times New Roman"/>
          <w:b/>
          <w:sz w:val="24"/>
          <w:szCs w:val="24"/>
        </w:rPr>
      </w:pPr>
      <w:r>
        <w:rPr>
          <w:rFonts w:ascii="Times New Roman" w:hAnsi="Times New Roman"/>
          <w:b/>
          <w:sz w:val="24"/>
        </w:rPr>
        <w:t>Certificates of compliance with the requirements and confirmation of absence of dual funding</w:t>
      </w:r>
    </w:p>
    <w:p w:rsidR="00D742CA" w:rsidRPr="00BD736B" w:rsidRDefault="00D742CA" w:rsidP="00C35BC1">
      <w:pPr>
        <w:jc w:val="center"/>
        <w:rPr>
          <w:rFonts w:ascii="Times New Roman" w:hAnsi="Times New Roman" w:cs="Times New Roman"/>
          <w:color w:val="FF0000"/>
          <w:sz w:val="24"/>
          <w:szCs w:val="24"/>
        </w:rPr>
      </w:pPr>
    </w:p>
    <w:tbl>
      <w:tblPr>
        <w:tblStyle w:val="TableGrid"/>
        <w:tblW w:w="0" w:type="auto"/>
        <w:tblLook w:val="04A0"/>
      </w:tblPr>
      <w:tblGrid>
        <w:gridCol w:w="4148"/>
        <w:gridCol w:w="4148"/>
      </w:tblGrid>
      <w:tr w:rsidR="00D450CA" w:rsidRPr="00BD736B" w:rsidTr="000A1E54">
        <w:tc>
          <w:tcPr>
            <w:tcW w:w="4148" w:type="dxa"/>
            <w:vMerge w:val="restart"/>
            <w:tcBorders>
              <w:top w:val="single" w:sz="4" w:space="0" w:color="auto"/>
              <w:left w:val="single" w:sz="4" w:space="0" w:color="auto"/>
              <w:bottom w:val="nil"/>
              <w:right w:val="single" w:sz="4" w:space="0" w:color="auto"/>
            </w:tcBorders>
          </w:tcPr>
          <w:p w:rsidR="00D450CA" w:rsidRPr="00F95C4D" w:rsidRDefault="00D450CA" w:rsidP="00D450CA">
            <w:pPr>
              <w:rPr>
                <w:rFonts w:ascii="Times New Roman" w:hAnsi="Times New Roman"/>
                <w:sz w:val="24"/>
                <w:szCs w:val="24"/>
              </w:rPr>
            </w:pPr>
            <w:r>
              <w:rPr>
                <w:rFonts w:ascii="Times New Roman" w:hAnsi="Times New Roman"/>
                <w:sz w:val="24"/>
              </w:rPr>
              <w:t>I, the undersigned,</w:t>
            </w:r>
          </w:p>
          <w:p w:rsidR="00D450CA" w:rsidRPr="00F95C4D" w:rsidRDefault="00D450CA" w:rsidP="00D450CA">
            <w:pPr>
              <w:rPr>
                <w:rFonts w:ascii="Times New Roman" w:hAnsi="Times New Roman"/>
                <w:sz w:val="24"/>
                <w:szCs w:val="24"/>
              </w:rPr>
            </w:pPr>
          </w:p>
        </w:tc>
        <w:tc>
          <w:tcPr>
            <w:tcW w:w="4148" w:type="dxa"/>
            <w:tcBorders>
              <w:left w:val="single" w:sz="4" w:space="0" w:color="auto"/>
            </w:tcBorders>
          </w:tcPr>
          <w:p w:rsidR="00D450CA" w:rsidRPr="00BD736B" w:rsidRDefault="00D450CA" w:rsidP="00D450CA">
            <w:pPr>
              <w:jc w:val="both"/>
              <w:rPr>
                <w:rFonts w:ascii="Times New Roman" w:hAnsi="Times New Roman" w:cs="Times New Roman"/>
                <w:sz w:val="24"/>
                <w:szCs w:val="24"/>
              </w:rPr>
            </w:pPr>
          </w:p>
          <w:p w:rsidR="00D450CA" w:rsidRPr="00BD736B" w:rsidRDefault="00D450CA" w:rsidP="00D450CA">
            <w:pPr>
              <w:jc w:val="both"/>
              <w:rPr>
                <w:rFonts w:ascii="Times New Roman" w:hAnsi="Times New Roman" w:cs="Times New Roman"/>
                <w:sz w:val="24"/>
                <w:szCs w:val="24"/>
              </w:rPr>
            </w:pPr>
          </w:p>
        </w:tc>
      </w:tr>
      <w:tr w:rsidR="00D450CA" w:rsidRPr="00BD736B" w:rsidTr="000A1E54">
        <w:tc>
          <w:tcPr>
            <w:tcW w:w="4148" w:type="dxa"/>
            <w:vMerge/>
            <w:tcBorders>
              <w:top w:val="nil"/>
              <w:left w:val="single" w:sz="4" w:space="0" w:color="auto"/>
              <w:bottom w:val="nil"/>
              <w:right w:val="single" w:sz="4" w:space="0" w:color="auto"/>
            </w:tcBorders>
          </w:tcPr>
          <w:p w:rsidR="00D450CA" w:rsidRPr="00BD736B" w:rsidRDefault="00D450CA" w:rsidP="00D450CA">
            <w:pPr>
              <w:jc w:val="both"/>
              <w:rPr>
                <w:rFonts w:ascii="Times New Roman" w:hAnsi="Times New Roman" w:cs="Times New Roman"/>
                <w:sz w:val="24"/>
                <w:szCs w:val="24"/>
              </w:rPr>
            </w:pPr>
          </w:p>
        </w:tc>
        <w:tc>
          <w:tcPr>
            <w:tcW w:w="4148" w:type="dxa"/>
            <w:tcBorders>
              <w:left w:val="single" w:sz="4" w:space="0" w:color="auto"/>
            </w:tcBorders>
          </w:tcPr>
          <w:p w:rsidR="00D450CA" w:rsidRPr="00BD736B" w:rsidRDefault="00D450CA" w:rsidP="00D450CA">
            <w:pPr>
              <w:jc w:val="both"/>
              <w:rPr>
                <w:rFonts w:ascii="Times New Roman" w:hAnsi="Times New Roman" w:cs="Times New Roman"/>
                <w:sz w:val="24"/>
                <w:szCs w:val="24"/>
              </w:rPr>
            </w:pPr>
            <w:r>
              <w:rPr>
                <w:rFonts w:ascii="Times New Roman" w:hAnsi="Times New Roman"/>
                <w:sz w:val="24"/>
              </w:rPr>
              <w:t>Name, surname</w:t>
            </w:r>
          </w:p>
        </w:tc>
      </w:tr>
      <w:tr w:rsidR="00D450CA" w:rsidRPr="00BD736B" w:rsidTr="000A1E54">
        <w:tc>
          <w:tcPr>
            <w:tcW w:w="4148" w:type="dxa"/>
            <w:vMerge w:val="restart"/>
            <w:tcBorders>
              <w:top w:val="nil"/>
              <w:left w:val="single" w:sz="4" w:space="0" w:color="auto"/>
              <w:bottom w:val="nil"/>
              <w:right w:val="single" w:sz="4" w:space="0" w:color="auto"/>
            </w:tcBorders>
          </w:tcPr>
          <w:p w:rsidR="00D450CA" w:rsidRDefault="00D450CA" w:rsidP="00D450CA">
            <w:pPr>
              <w:rPr>
                <w:rFonts w:ascii="Times New Roman" w:hAnsi="Times New Roman"/>
                <w:sz w:val="24"/>
              </w:rPr>
            </w:pPr>
          </w:p>
          <w:p w:rsidR="00D450CA" w:rsidRDefault="00D450CA" w:rsidP="00D450CA">
            <w:pPr>
              <w:rPr>
                <w:rFonts w:ascii="Times New Roman" w:hAnsi="Times New Roman"/>
                <w:sz w:val="24"/>
              </w:rPr>
            </w:pPr>
            <w:r>
              <w:rPr>
                <w:rFonts w:ascii="Times New Roman" w:hAnsi="Times New Roman"/>
                <w:sz w:val="24"/>
              </w:rPr>
              <w:t xml:space="preserve">Responsible official </w:t>
            </w:r>
          </w:p>
          <w:p w:rsidR="00D450CA" w:rsidRDefault="00D450CA" w:rsidP="00D450CA">
            <w:pPr>
              <w:rPr>
                <w:rFonts w:ascii="Times New Roman" w:hAnsi="Times New Roman"/>
                <w:sz w:val="24"/>
              </w:rPr>
            </w:pPr>
          </w:p>
          <w:p w:rsidR="00D450CA" w:rsidRPr="00F95C4D" w:rsidRDefault="00D450CA" w:rsidP="00D450CA">
            <w:pPr>
              <w:rPr>
                <w:rFonts w:ascii="Times New Roman" w:hAnsi="Times New Roman"/>
                <w:sz w:val="24"/>
                <w:szCs w:val="24"/>
              </w:rPr>
            </w:pPr>
          </w:p>
        </w:tc>
        <w:tc>
          <w:tcPr>
            <w:tcW w:w="4148" w:type="dxa"/>
            <w:tcBorders>
              <w:left w:val="single" w:sz="4" w:space="0" w:color="auto"/>
            </w:tcBorders>
          </w:tcPr>
          <w:p w:rsidR="00D450CA" w:rsidRPr="00BD736B" w:rsidRDefault="00D450CA" w:rsidP="00D450CA">
            <w:pPr>
              <w:jc w:val="both"/>
              <w:rPr>
                <w:rFonts w:ascii="Times New Roman" w:hAnsi="Times New Roman" w:cs="Times New Roman"/>
                <w:sz w:val="24"/>
                <w:szCs w:val="24"/>
              </w:rPr>
            </w:pPr>
          </w:p>
          <w:p w:rsidR="00D450CA" w:rsidRPr="00BD736B" w:rsidRDefault="00D450CA" w:rsidP="00D450CA">
            <w:pPr>
              <w:jc w:val="both"/>
              <w:rPr>
                <w:rFonts w:ascii="Times New Roman" w:hAnsi="Times New Roman" w:cs="Times New Roman"/>
                <w:sz w:val="24"/>
                <w:szCs w:val="24"/>
              </w:rPr>
            </w:pPr>
          </w:p>
        </w:tc>
      </w:tr>
      <w:tr w:rsidR="009073B0" w:rsidRPr="00BD736B" w:rsidTr="000A1E54">
        <w:tc>
          <w:tcPr>
            <w:tcW w:w="4148" w:type="dxa"/>
            <w:vMerge/>
            <w:tcBorders>
              <w:top w:val="nil"/>
              <w:left w:val="single" w:sz="4" w:space="0" w:color="auto"/>
              <w:bottom w:val="nil"/>
              <w:right w:val="single" w:sz="4" w:space="0" w:color="auto"/>
            </w:tcBorders>
          </w:tcPr>
          <w:p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rsidR="009073B0" w:rsidRPr="00BD736B" w:rsidRDefault="00D450CA" w:rsidP="00C35BC1">
            <w:pPr>
              <w:jc w:val="both"/>
              <w:rPr>
                <w:rFonts w:ascii="Times New Roman" w:hAnsi="Times New Roman" w:cs="Times New Roman"/>
                <w:sz w:val="24"/>
                <w:szCs w:val="24"/>
              </w:rPr>
            </w:pPr>
            <w:r>
              <w:rPr>
                <w:rFonts w:ascii="Times New Roman" w:hAnsi="Times New Roman"/>
                <w:sz w:val="24"/>
              </w:rPr>
              <w:t>Job title</w:t>
            </w:r>
          </w:p>
        </w:tc>
      </w:tr>
      <w:tr w:rsidR="009073B0" w:rsidRPr="00BD736B" w:rsidTr="00D450CA">
        <w:trPr>
          <w:trHeight w:val="430"/>
        </w:trPr>
        <w:tc>
          <w:tcPr>
            <w:tcW w:w="4148" w:type="dxa"/>
            <w:vMerge w:val="restart"/>
            <w:tcBorders>
              <w:top w:val="nil"/>
              <w:left w:val="single" w:sz="4" w:space="0" w:color="auto"/>
              <w:bottom w:val="single" w:sz="4" w:space="0" w:color="auto"/>
              <w:right w:val="single" w:sz="4" w:space="0" w:color="auto"/>
            </w:tcBorders>
          </w:tcPr>
          <w:p w:rsidR="009073B0" w:rsidRPr="00BD736B" w:rsidRDefault="00D450CA" w:rsidP="00C35BC1">
            <w:pPr>
              <w:jc w:val="both"/>
              <w:rPr>
                <w:rFonts w:ascii="Times New Roman" w:hAnsi="Times New Roman" w:cs="Times New Roman"/>
                <w:sz w:val="24"/>
                <w:szCs w:val="24"/>
              </w:rPr>
            </w:pPr>
            <w:r>
              <w:rPr>
                <w:rFonts w:ascii="Times New Roman" w:hAnsi="Times New Roman"/>
                <w:sz w:val="24"/>
              </w:rPr>
              <w:t>of the Project applicant</w:t>
            </w:r>
          </w:p>
        </w:tc>
        <w:tc>
          <w:tcPr>
            <w:tcW w:w="4148" w:type="dxa"/>
            <w:tcBorders>
              <w:left w:val="single" w:sz="4" w:space="0" w:color="auto"/>
            </w:tcBorders>
          </w:tcPr>
          <w:p w:rsidR="009073B0" w:rsidRPr="00BD736B" w:rsidRDefault="009073B0" w:rsidP="00C35BC1">
            <w:pPr>
              <w:jc w:val="both"/>
              <w:rPr>
                <w:rFonts w:ascii="Times New Roman" w:hAnsi="Times New Roman" w:cs="Times New Roman"/>
                <w:sz w:val="24"/>
                <w:szCs w:val="24"/>
              </w:rPr>
            </w:pPr>
          </w:p>
          <w:p w:rsidR="009073B0" w:rsidRPr="00BD736B" w:rsidRDefault="009073B0" w:rsidP="00C35BC1">
            <w:pPr>
              <w:jc w:val="both"/>
              <w:rPr>
                <w:rFonts w:ascii="Times New Roman" w:hAnsi="Times New Roman" w:cs="Times New Roman"/>
                <w:sz w:val="24"/>
                <w:szCs w:val="24"/>
              </w:rPr>
            </w:pPr>
          </w:p>
        </w:tc>
      </w:tr>
      <w:tr w:rsidR="009073B0" w:rsidRPr="00BD736B" w:rsidTr="000A1E54">
        <w:tc>
          <w:tcPr>
            <w:tcW w:w="4148" w:type="dxa"/>
            <w:vMerge/>
            <w:tcBorders>
              <w:top w:val="nil"/>
              <w:left w:val="single" w:sz="4" w:space="0" w:color="auto"/>
              <w:bottom w:val="single" w:sz="4" w:space="0" w:color="auto"/>
              <w:right w:val="single" w:sz="4" w:space="0" w:color="auto"/>
            </w:tcBorders>
          </w:tcPr>
          <w:p w:rsidR="009073B0" w:rsidRPr="00BD736B" w:rsidRDefault="009073B0" w:rsidP="00C35BC1">
            <w:pPr>
              <w:jc w:val="both"/>
              <w:rPr>
                <w:rFonts w:ascii="Times New Roman" w:hAnsi="Times New Roman" w:cs="Times New Roman"/>
                <w:sz w:val="24"/>
                <w:szCs w:val="24"/>
              </w:rPr>
            </w:pPr>
          </w:p>
        </w:tc>
        <w:tc>
          <w:tcPr>
            <w:tcW w:w="4148" w:type="dxa"/>
            <w:tcBorders>
              <w:left w:val="single" w:sz="4" w:space="0" w:color="auto"/>
            </w:tcBorders>
          </w:tcPr>
          <w:p w:rsidR="009073B0" w:rsidRPr="00BD736B" w:rsidRDefault="00D450CA" w:rsidP="00C35BC1">
            <w:pPr>
              <w:jc w:val="both"/>
              <w:rPr>
                <w:rFonts w:ascii="Times New Roman" w:hAnsi="Times New Roman" w:cs="Times New Roman"/>
                <w:sz w:val="24"/>
                <w:szCs w:val="24"/>
              </w:rPr>
            </w:pPr>
            <w:r>
              <w:rPr>
                <w:rFonts w:ascii="Times New Roman" w:hAnsi="Times New Roman"/>
                <w:sz w:val="24"/>
              </w:rPr>
              <w:t>Title of the project applicant</w:t>
            </w:r>
          </w:p>
        </w:tc>
      </w:tr>
    </w:tbl>
    <w:p w:rsidR="002E033A" w:rsidRPr="00BD736B" w:rsidRDefault="00613BA9" w:rsidP="00C35BC1">
      <w:pPr>
        <w:jc w:val="both"/>
        <w:rPr>
          <w:rFonts w:ascii="Times New Roman" w:hAnsi="Times New Roman" w:cs="Times New Roman"/>
          <w:sz w:val="24"/>
          <w:szCs w:val="24"/>
        </w:rPr>
      </w:pPr>
      <w:r>
        <w:tab/>
      </w:r>
    </w:p>
    <w:p w:rsidR="00EA62AE" w:rsidRPr="00BD736B" w:rsidRDefault="002E033A" w:rsidP="00C35BC1">
      <w:pPr>
        <w:jc w:val="both"/>
        <w:rPr>
          <w:rFonts w:ascii="Times New Roman" w:hAnsi="Times New Roman" w:cs="Times New Roman"/>
          <w:sz w:val="24"/>
          <w:szCs w:val="24"/>
        </w:rPr>
      </w:pPr>
      <w:r>
        <w:rPr>
          <w:rFonts w:ascii="Times New Roman" w:hAnsi="Times New Roman"/>
          <w:sz w:val="24"/>
        </w:rPr>
        <w:t>Hereby confirm that:</w:t>
      </w:r>
    </w:p>
    <w:p w:rsidR="00427BAB" w:rsidRPr="00BD736B" w:rsidRDefault="00427BAB" w:rsidP="00427BAB">
      <w:pPr>
        <w:pStyle w:val="ListParagraph"/>
        <w:numPr>
          <w:ilvl w:val="0"/>
          <w:numId w:val="1"/>
        </w:numPr>
        <w:jc w:val="both"/>
        <w:rPr>
          <w:rFonts w:ascii="Times New Roman" w:hAnsi="Times New Roman" w:cs="Times New Roman"/>
          <w:sz w:val="24"/>
          <w:szCs w:val="24"/>
        </w:rPr>
      </w:pPr>
      <w:r>
        <w:rPr>
          <w:rFonts w:ascii="Times New Roman" w:hAnsi="Times New Roman"/>
          <w:sz w:val="24"/>
        </w:rPr>
        <w:t>has not started the activities planned in the project before the submission of the project application</w:t>
      </w:r>
    </w:p>
    <w:p w:rsidR="00C35BC1" w:rsidRPr="00BD736B" w:rsidRDefault="00C35BC1" w:rsidP="00427BAB">
      <w:pPr>
        <w:pStyle w:val="ListParagraph"/>
        <w:numPr>
          <w:ilvl w:val="0"/>
          <w:numId w:val="1"/>
        </w:numPr>
        <w:jc w:val="both"/>
        <w:rPr>
          <w:rFonts w:ascii="Times New Roman" w:hAnsi="Times New Roman" w:cs="Times New Roman"/>
          <w:sz w:val="24"/>
          <w:szCs w:val="24"/>
        </w:rPr>
      </w:pPr>
      <w:r>
        <w:rPr>
          <w:rFonts w:ascii="Times New Roman" w:hAnsi="Times New Roman"/>
          <w:sz w:val="24"/>
        </w:rPr>
        <w:t>the project applicant will evaluate all project applicant costs during the project implementation and after the end of the project implementation period - whether they can be recognized as research, development and innovation costs at pilot production sites;</w:t>
      </w:r>
    </w:p>
    <w:p w:rsidR="00C35BC1" w:rsidRPr="00BD736B" w:rsidRDefault="00C35BC1" w:rsidP="00C35BC1">
      <w:pPr>
        <w:pStyle w:val="ListParagraph"/>
        <w:numPr>
          <w:ilvl w:val="0"/>
          <w:numId w:val="1"/>
        </w:numPr>
        <w:jc w:val="both"/>
        <w:rPr>
          <w:rFonts w:ascii="Times New Roman" w:hAnsi="Times New Roman" w:cs="Times New Roman"/>
          <w:sz w:val="24"/>
          <w:szCs w:val="24"/>
        </w:rPr>
      </w:pPr>
      <w:r>
        <w:rPr>
          <w:rFonts w:ascii="Times New Roman" w:hAnsi="Times New Roman"/>
          <w:sz w:val="24"/>
        </w:rPr>
        <w:t>during the project implementation and three years after the project implementation, if the beneficiary meets the status of a micro, small and medium business, and five years after the project implementation, if it meets the status of a large merchant, the applicant will submit reports on the costs of research, development and innovation to the Central Statistical Bureau administration in the form and within the deadline set by CSB;</w:t>
      </w:r>
    </w:p>
    <w:p w:rsidR="00C35BC1" w:rsidRPr="00BD736B" w:rsidRDefault="00C35BC1" w:rsidP="00C35BC1">
      <w:pPr>
        <w:pStyle w:val="ListParagraph"/>
        <w:numPr>
          <w:ilvl w:val="0"/>
          <w:numId w:val="1"/>
        </w:numPr>
        <w:jc w:val="both"/>
        <w:rPr>
          <w:rFonts w:ascii="Times New Roman" w:hAnsi="Times New Roman" w:cs="Times New Roman"/>
          <w:sz w:val="24"/>
          <w:szCs w:val="24"/>
        </w:rPr>
      </w:pPr>
      <w:r>
        <w:rPr>
          <w:rFonts w:ascii="Times New Roman" w:hAnsi="Times New Roman"/>
          <w:sz w:val="24"/>
        </w:rPr>
        <w:t xml:space="preserve">the project applicant does not comply with the provisions for the exclusion of project applicants referred to in </w:t>
      </w:r>
      <w:hyperlink r:id="rId9">
        <w:r>
          <w:rPr>
            <w:rStyle w:val="Hyperlink"/>
            <w:rFonts w:ascii="Times New Roman" w:hAnsi="Times New Roman"/>
            <w:sz w:val="24"/>
          </w:rPr>
          <w:t>Section 23 of the Law on the Management of the European Union Structural Funds and the Cohesion Fund for the Planning Period 2014-2020</w:t>
        </w:r>
      </w:hyperlink>
      <w:r>
        <w:rPr>
          <w:rFonts w:ascii="Times New Roman" w:hAnsi="Times New Roman"/>
          <w:sz w:val="24"/>
        </w:rPr>
        <w:t>;</w:t>
      </w:r>
    </w:p>
    <w:p w:rsidR="00427BAB" w:rsidRPr="00BD736B" w:rsidRDefault="00C35BC1" w:rsidP="00427BAB">
      <w:pPr>
        <w:pStyle w:val="ListParagraph"/>
        <w:numPr>
          <w:ilvl w:val="0"/>
          <w:numId w:val="1"/>
        </w:numPr>
        <w:jc w:val="both"/>
        <w:rPr>
          <w:rFonts w:ascii="Times New Roman" w:hAnsi="Times New Roman" w:cs="Times New Roman"/>
          <w:sz w:val="24"/>
          <w:szCs w:val="24"/>
        </w:rPr>
      </w:pPr>
      <w:r>
        <w:rPr>
          <w:rFonts w:ascii="Times New Roman" w:hAnsi="Times New Roman"/>
          <w:sz w:val="24"/>
        </w:rPr>
        <w:t>does not correspond to the status of a merchant in difficulty in accordance with the provisions of Commission Regulation (EU)</w:t>
      </w:r>
      <w:hyperlink r:id="rId10">
        <w:r>
          <w:rPr>
            <w:rStyle w:val="Hyperlink"/>
            <w:rFonts w:ascii="Times New Roman" w:hAnsi="Times New Roman"/>
            <w:sz w:val="24"/>
          </w:rPr>
          <w:t xml:space="preserve"> No 651/2014</w:t>
        </w:r>
      </w:hyperlink>
      <w:r>
        <w:rPr>
          <w:rFonts w:ascii="Times New Roman" w:hAnsi="Times New Roman"/>
          <w:sz w:val="24"/>
        </w:rPr>
        <w:t xml:space="preserve"> of 17 June 2014 declaring certain categories of aid compatible with the internal market in application of Articles 107 and 108 of the Treaty (Official Journal of the European Union No L 187 of 26 June 2014) (hereinafter referred to as Commission Regulation </w:t>
      </w:r>
      <w:hyperlink r:id="rId11">
        <w:r>
          <w:rPr>
            <w:rStyle w:val="Hyperlink"/>
            <w:rFonts w:ascii="Times New Roman" w:hAnsi="Times New Roman"/>
            <w:sz w:val="24"/>
          </w:rPr>
          <w:t>651/2014</w:t>
        </w:r>
      </w:hyperlink>
      <w:r>
        <w:rPr>
          <w:rFonts w:ascii="Times New Roman" w:hAnsi="Times New Roman"/>
          <w:sz w:val="24"/>
        </w:rPr>
        <w:t>), as defined in Article 2 (18);</w:t>
      </w:r>
    </w:p>
    <w:p w:rsidR="00427BAB" w:rsidRPr="00BD736B" w:rsidRDefault="00427BAB" w:rsidP="00427BAB">
      <w:pPr>
        <w:pStyle w:val="ListParagraph"/>
        <w:numPr>
          <w:ilvl w:val="0"/>
          <w:numId w:val="1"/>
        </w:numPr>
        <w:jc w:val="both"/>
        <w:rPr>
          <w:rFonts w:ascii="Times New Roman" w:hAnsi="Times New Roman" w:cs="Times New Roman"/>
          <w:sz w:val="24"/>
          <w:szCs w:val="24"/>
        </w:rPr>
      </w:pPr>
      <w:r>
        <w:rPr>
          <w:rFonts w:ascii="Times New Roman" w:hAnsi="Times New Roman"/>
          <w:sz w:val="24"/>
        </w:rPr>
        <w:t xml:space="preserve">does not meet the criteria set out in Article 57 of the Insolvency Law in order for it to be subjected to insolvency proceedings upon the request of creditors, i.e.: </w:t>
      </w:r>
    </w:p>
    <w:p w:rsidR="00427BAB" w:rsidRPr="00BD736B" w:rsidRDefault="00427BAB" w:rsidP="00427BAB">
      <w:pPr>
        <w:pStyle w:val="ListParagraph"/>
        <w:numPr>
          <w:ilvl w:val="0"/>
          <w:numId w:val="3"/>
        </w:numPr>
        <w:tabs>
          <w:tab w:val="left" w:pos="0"/>
        </w:tabs>
        <w:spacing w:after="0" w:line="240" w:lineRule="auto"/>
        <w:jc w:val="both"/>
        <w:rPr>
          <w:rFonts w:ascii="Times New Roman" w:hAnsi="Times New Roman"/>
          <w:color w:val="FF0000"/>
          <w:sz w:val="24"/>
          <w:szCs w:val="24"/>
        </w:rPr>
      </w:pPr>
      <w:r>
        <w:rPr>
          <w:rFonts w:ascii="Times New Roman" w:hAnsi="Times New Roman"/>
          <w:sz w:val="24"/>
        </w:rPr>
        <w:t xml:space="preserve">it was not possible to enforce a court order to recover a debt from a debtor through enforcement measures; </w:t>
      </w:r>
    </w:p>
    <w:p w:rsidR="00427BAB" w:rsidRPr="00BD736B" w:rsidRDefault="00427BAB" w:rsidP="00427BAB">
      <w:pPr>
        <w:numPr>
          <w:ilvl w:val="0"/>
          <w:numId w:val="3"/>
        </w:numPr>
        <w:tabs>
          <w:tab w:val="left" w:pos="0"/>
        </w:tabs>
        <w:spacing w:after="0" w:line="240" w:lineRule="auto"/>
        <w:jc w:val="both"/>
        <w:rPr>
          <w:rFonts w:ascii="Times New Roman" w:hAnsi="Times New Roman"/>
          <w:sz w:val="24"/>
          <w:szCs w:val="24"/>
        </w:rPr>
      </w:pPr>
      <w:r>
        <w:rPr>
          <w:rFonts w:ascii="Times New Roman" w:hAnsi="Times New Roman"/>
          <w:color w:val="FF0000"/>
          <w:sz w:val="24"/>
        </w:rPr>
        <w:lastRenderedPageBreak/>
        <w:t>&lt;In case of a LLC or JSC&gt;</w:t>
      </w:r>
      <w:r>
        <w:rPr>
          <w:rFonts w:ascii="Times New Roman" w:hAnsi="Times New Roman"/>
          <w:sz w:val="24"/>
        </w:rPr>
        <w:t xml:space="preserve">has not passed the basic debt of 4268 </w:t>
      </w:r>
      <w:r>
        <w:rPr>
          <w:rFonts w:ascii="Times New Roman" w:hAnsi="Times New Roman"/>
          <w:i/>
          <w:sz w:val="24"/>
        </w:rPr>
        <w:t xml:space="preserve">euro </w:t>
      </w:r>
      <w:r>
        <w:rPr>
          <w:rFonts w:ascii="Times New Roman" w:hAnsi="Times New Roman"/>
          <w:sz w:val="24"/>
        </w:rPr>
        <w:t xml:space="preserve">and the creditor has warned him about his intention to file an application for legal entity insolvency proceedings; </w:t>
      </w:r>
      <w:r>
        <w:rPr>
          <w:rFonts w:ascii="Times New Roman" w:hAnsi="Times New Roman"/>
          <w:color w:val="FF0000"/>
          <w:sz w:val="24"/>
        </w:rPr>
        <w:t>or</w:t>
      </w:r>
    </w:p>
    <w:p w:rsidR="00427BAB" w:rsidRPr="00BD736B" w:rsidRDefault="00427BAB" w:rsidP="00427BAB">
      <w:pPr>
        <w:numPr>
          <w:ilvl w:val="0"/>
          <w:numId w:val="3"/>
        </w:numPr>
        <w:tabs>
          <w:tab w:val="left" w:pos="0"/>
        </w:tabs>
        <w:spacing w:after="0" w:line="240" w:lineRule="auto"/>
        <w:jc w:val="both"/>
        <w:rPr>
          <w:rFonts w:ascii="Times New Roman" w:hAnsi="Times New Roman"/>
          <w:sz w:val="24"/>
          <w:szCs w:val="24"/>
        </w:rPr>
      </w:pPr>
      <w:r>
        <w:rPr>
          <w:rFonts w:ascii="Times New Roman" w:hAnsi="Times New Roman"/>
          <w:color w:val="FF0000"/>
          <w:sz w:val="24"/>
        </w:rPr>
        <w:t>&lt;In case of another person, who is not a LLC and JSC&gt;</w:t>
      </w:r>
      <w:r>
        <w:rPr>
          <w:rFonts w:ascii="Times New Roman" w:hAnsi="Times New Roman"/>
          <w:sz w:val="24"/>
        </w:rPr>
        <w:t xml:space="preserve">has not passed the basic debt of 2134 </w:t>
      </w:r>
      <w:r>
        <w:rPr>
          <w:rFonts w:ascii="Times New Roman" w:hAnsi="Times New Roman"/>
          <w:i/>
          <w:sz w:val="24"/>
        </w:rPr>
        <w:t xml:space="preserve">euro </w:t>
      </w:r>
      <w:r>
        <w:rPr>
          <w:rFonts w:ascii="Times New Roman" w:hAnsi="Times New Roman"/>
          <w:sz w:val="24"/>
        </w:rPr>
        <w:t xml:space="preserve">and the creditor has warned him about his intention to file an application for legal entity insolvency proceedings; </w:t>
      </w:r>
    </w:p>
    <w:p w:rsidR="00427BAB" w:rsidRPr="00BD736B" w:rsidRDefault="00427BAB" w:rsidP="00427BAB">
      <w:pPr>
        <w:numPr>
          <w:ilvl w:val="0"/>
          <w:numId w:val="3"/>
        </w:numPr>
        <w:tabs>
          <w:tab w:val="left" w:pos="0"/>
        </w:tabs>
        <w:spacing w:after="0" w:line="240" w:lineRule="auto"/>
        <w:jc w:val="both"/>
        <w:rPr>
          <w:rFonts w:ascii="Times New Roman" w:hAnsi="Times New Roman"/>
          <w:sz w:val="24"/>
          <w:szCs w:val="24"/>
        </w:rPr>
      </w:pPr>
      <w:r>
        <w:rPr>
          <w:rFonts w:ascii="Times New Roman" w:hAnsi="Times New Roman"/>
          <w:sz w:val="24"/>
        </w:rPr>
        <w:t>the debtor has not paid the employee full salary, indemnification for work or occupational illness within two months or has not paid the social insurance contributions within two months from the date fixed for payment (if the day of payment of a salary is not specified in the employment contract, then this day is the first working day of the next month). In this case, the amount outstanding is irrelevant.</w:t>
      </w:r>
    </w:p>
    <w:p w:rsidR="00427BAB" w:rsidRPr="00BD736B" w:rsidRDefault="00427BAB" w:rsidP="00427BAB">
      <w:pPr>
        <w:pStyle w:val="ListParagraph"/>
        <w:numPr>
          <w:ilvl w:val="0"/>
          <w:numId w:val="1"/>
        </w:numPr>
        <w:jc w:val="both"/>
        <w:rPr>
          <w:rFonts w:ascii="Times New Roman" w:hAnsi="Times New Roman"/>
          <w:sz w:val="24"/>
          <w:szCs w:val="24"/>
        </w:rPr>
      </w:pPr>
      <w:r>
        <w:rPr>
          <w:rFonts w:ascii="Times New Roman" w:hAnsi="Times New Roman"/>
          <w:sz w:val="24"/>
        </w:rPr>
        <w:t>certify that the project applicant is not a company that has received rescue support and has not yet repaid the loan or withdrew the guarantee, or the company that has received the restructuring support and is still subject to a restructuring plan, in accordance with the Commission notice on Community guidelines on State aid for the rescue and restructuring of firms in difficulty, the Commission notice on Guidelines on State aid for the rescue and restructuring of firms in difficulty, or the Commission notice on the application of State aid rules to support measures in favour of banks in the context of the financial crisis starting from 1 August 2013.</w:t>
      </w:r>
    </w:p>
    <w:p w:rsidR="00C35BC1" w:rsidRPr="00BD736B" w:rsidRDefault="00C35BC1" w:rsidP="00C35BC1">
      <w:pPr>
        <w:pStyle w:val="ListParagraph"/>
        <w:numPr>
          <w:ilvl w:val="0"/>
          <w:numId w:val="1"/>
        </w:numPr>
        <w:jc w:val="both"/>
        <w:rPr>
          <w:rFonts w:ascii="Times New Roman" w:hAnsi="Times New Roman" w:cs="Times New Roman"/>
          <w:sz w:val="24"/>
          <w:szCs w:val="24"/>
        </w:rPr>
      </w:pPr>
      <w:r>
        <w:rPr>
          <w:rFonts w:ascii="Times New Roman" w:hAnsi="Times New Roman"/>
          <w:sz w:val="24"/>
        </w:rPr>
        <w:t xml:space="preserve">the project applicant has not and will not implement the activities set out in Article 14 (16) of the Commission Regulation (EC) No </w:t>
      </w:r>
      <w:hyperlink r:id="rId12">
        <w:r>
          <w:rPr>
            <w:rStyle w:val="Hyperlink"/>
            <w:rFonts w:ascii="Times New Roman" w:hAnsi="Times New Roman"/>
            <w:sz w:val="24"/>
          </w:rPr>
          <w:t>651/2014</w:t>
        </w:r>
      </w:hyperlink>
      <w:r>
        <w:rPr>
          <w:rFonts w:ascii="Times New Roman" w:hAnsi="Times New Roman"/>
          <w:sz w:val="24"/>
        </w:rPr>
        <w:t xml:space="preserve">, specified in Article 2 (61a) of the Commission Regulation No. </w:t>
      </w:r>
      <w:hyperlink r:id="rId13">
        <w:r>
          <w:rPr>
            <w:rStyle w:val="Hyperlink"/>
            <w:rFonts w:ascii="Times New Roman" w:hAnsi="Times New Roman"/>
            <w:sz w:val="24"/>
          </w:rPr>
          <w:t>651/2014</w:t>
        </w:r>
      </w:hyperlink>
      <w:r>
        <w:rPr>
          <w:rFonts w:ascii="Times New Roman" w:hAnsi="Times New Roman"/>
          <w:sz w:val="24"/>
        </w:rPr>
        <w:t xml:space="preserve">, and that it is not subject to the regulation specified in Article 14 (17) of the Commission Regulation No. </w:t>
      </w:r>
      <w:hyperlink r:id="rId14">
        <w:r>
          <w:rPr>
            <w:rStyle w:val="Hyperlink"/>
            <w:rFonts w:ascii="Times New Roman" w:hAnsi="Times New Roman"/>
            <w:sz w:val="24"/>
          </w:rPr>
          <w:t>651/2014</w:t>
        </w:r>
      </w:hyperlink>
      <w:r>
        <w:rPr>
          <w:rFonts w:ascii="Times New Roman" w:hAnsi="Times New Roman"/>
          <w:sz w:val="24"/>
        </w:rPr>
        <w:t>;</w:t>
      </w:r>
    </w:p>
    <w:p w:rsidR="00C35BC1" w:rsidRPr="00BD736B" w:rsidRDefault="00D450CA" w:rsidP="00C35BC1">
      <w:pPr>
        <w:pStyle w:val="ListParagraph"/>
        <w:numPr>
          <w:ilvl w:val="0"/>
          <w:numId w:val="1"/>
        </w:numPr>
        <w:jc w:val="both"/>
        <w:rPr>
          <w:rFonts w:ascii="Times New Roman" w:hAnsi="Times New Roman" w:cs="Times New Roman"/>
          <w:sz w:val="24"/>
          <w:szCs w:val="24"/>
        </w:rPr>
      </w:pPr>
      <w:r>
        <w:rPr>
          <w:rFonts w:ascii="Times New Roman" w:hAnsi="Times New Roman"/>
          <w:sz w:val="24"/>
        </w:rPr>
        <w:t>i</w:t>
      </w:r>
      <w:r w:rsidR="00C35BC1">
        <w:rPr>
          <w:rFonts w:ascii="Times New Roman" w:hAnsi="Times New Roman"/>
          <w:sz w:val="24"/>
        </w:rPr>
        <w:t>f it is found that one of the sectors covered by the project applicant is not eligible and the project applicant applies for the project in the supported field, the project applicant clearly separates the financial flows of the supported business project from the financial flows of other sectors of activity during the project implementation, three years after the project implementation if the financing of the beneficiary meets the status of small (micro) and medium sized merchant, and five years after the project implementation if it meets the status of a large merchant;</w:t>
      </w:r>
    </w:p>
    <w:p w:rsidR="00C35BC1" w:rsidRPr="00BD736B" w:rsidRDefault="00C35BC1" w:rsidP="00C35BC1">
      <w:pPr>
        <w:pStyle w:val="ListParagraph"/>
        <w:numPr>
          <w:ilvl w:val="0"/>
          <w:numId w:val="1"/>
        </w:numPr>
        <w:jc w:val="both"/>
        <w:rPr>
          <w:rFonts w:ascii="Times New Roman" w:hAnsi="Times New Roman" w:cs="Times New Roman"/>
          <w:sz w:val="24"/>
          <w:szCs w:val="24"/>
        </w:rPr>
      </w:pPr>
      <w:r>
        <w:rPr>
          <w:rFonts w:ascii="Times New Roman" w:hAnsi="Times New Roman"/>
          <w:sz w:val="24"/>
        </w:rPr>
        <w:t xml:space="preserve">the applicant for the project is not subject to the recovery order referred to in Article 1 (4a) of the Commission Regulation No. </w:t>
      </w:r>
      <w:hyperlink r:id="rId15">
        <w:r>
          <w:rPr>
            <w:rStyle w:val="Hyperlink"/>
            <w:rFonts w:ascii="Times New Roman" w:hAnsi="Times New Roman"/>
            <w:sz w:val="24"/>
          </w:rPr>
          <w:t>651/2014</w:t>
        </w:r>
      </w:hyperlink>
      <w:r>
        <w:rPr>
          <w:rFonts w:ascii="Times New Roman" w:hAnsi="Times New Roman"/>
          <w:sz w:val="24"/>
        </w:rPr>
        <w:t>;</w:t>
      </w:r>
    </w:p>
    <w:p w:rsidR="00EA62AE" w:rsidRPr="00BD736B" w:rsidRDefault="00D450CA" w:rsidP="00C35BC1">
      <w:pPr>
        <w:pStyle w:val="ListParagraph"/>
        <w:numPr>
          <w:ilvl w:val="0"/>
          <w:numId w:val="1"/>
        </w:numPr>
        <w:jc w:val="both"/>
        <w:rPr>
          <w:rFonts w:ascii="Times New Roman" w:hAnsi="Times New Roman" w:cs="Times New Roman"/>
          <w:sz w:val="24"/>
          <w:szCs w:val="24"/>
        </w:rPr>
      </w:pPr>
      <w:r>
        <w:rPr>
          <w:rFonts w:ascii="Times New Roman" w:hAnsi="Times New Roman"/>
          <w:sz w:val="24"/>
        </w:rPr>
        <w:t xml:space="preserve"> a</w:t>
      </w:r>
      <w:bookmarkStart w:id="1" w:name="_GoBack"/>
      <w:bookmarkEnd w:id="1"/>
      <w:r w:rsidR="00EA62AE">
        <w:rPr>
          <w:rFonts w:ascii="Times New Roman" w:hAnsi="Times New Roman"/>
          <w:sz w:val="24"/>
        </w:rPr>
        <w:t>t the moment of submitting the project application, in accordance with laws of the European Union</w:t>
      </w:r>
      <w:r w:rsidR="00EA62AE">
        <w:rPr>
          <w:rFonts w:ascii="Times New Roman" w:hAnsi="Times New Roman"/>
          <w:sz w:val="24"/>
          <w:vertAlign w:val="superscript"/>
        </w:rPr>
        <w:footnoteReference w:id="2"/>
      </w:r>
      <w:r w:rsidR="00EA62AE">
        <w:rPr>
          <w:rFonts w:ascii="Times New Roman" w:hAnsi="Times New Roman"/>
          <w:sz w:val="24"/>
        </w:rPr>
        <w:t xml:space="preserve">, the project ______________________________ </w:t>
      </w:r>
    </w:p>
    <w:p w:rsidR="00EA62AE" w:rsidRPr="00BD736B" w:rsidRDefault="00EA62AE" w:rsidP="00C35BC1">
      <w:pPr>
        <w:jc w:val="both"/>
        <w:rPr>
          <w:rFonts w:ascii="Times New Roman" w:hAnsi="Times New Roman" w:cs="Times New Roman"/>
          <w:sz w:val="24"/>
          <w:szCs w:val="24"/>
        </w:rPr>
      </w:pPr>
      <w:r>
        <w:rPr>
          <w:rFonts w:ascii="Times New Roman" w:hAnsi="Times New Roman"/>
          <w:sz w:val="24"/>
        </w:rPr>
        <w:t xml:space="preserve">                                                     (Project title) </w:t>
      </w:r>
    </w:p>
    <w:p w:rsidR="00EA62AE" w:rsidRPr="00BD736B" w:rsidRDefault="00EA62AE" w:rsidP="00C35BC1">
      <w:pPr>
        <w:jc w:val="both"/>
        <w:rPr>
          <w:rFonts w:ascii="Times New Roman" w:hAnsi="Times New Roman" w:cs="Times New Roman"/>
          <w:sz w:val="24"/>
          <w:szCs w:val="24"/>
        </w:rPr>
      </w:pPr>
      <w:r>
        <w:rPr>
          <w:rFonts w:ascii="Times New Roman" w:hAnsi="Times New Roman"/>
          <w:sz w:val="24"/>
        </w:rPr>
        <w:lastRenderedPageBreak/>
        <w:t xml:space="preserve">was not, is not and will not be financed/co-financed by other European Union financial sources or other foreign financial instruments, as well as state and local government budget funds, and the activities planned within the project application do not overlap with activities that were, are or will be financed by specific support objectives of other European Union funds and other foreign financial instruments, as well as from state and local government budget funds. </w:t>
      </w:r>
    </w:p>
    <w:p w:rsidR="007D2B6C" w:rsidRPr="00BD736B" w:rsidRDefault="007D2B6C" w:rsidP="00C35BC1">
      <w:pPr>
        <w:pStyle w:val="ListParagraph"/>
        <w:numPr>
          <w:ilvl w:val="0"/>
          <w:numId w:val="1"/>
        </w:numPr>
        <w:jc w:val="both"/>
        <w:rPr>
          <w:rFonts w:ascii="Times New Roman" w:hAnsi="Times New Roman" w:cs="Times New Roman"/>
          <w:sz w:val="24"/>
          <w:szCs w:val="24"/>
        </w:rPr>
      </w:pPr>
      <w:r>
        <w:rPr>
          <w:rFonts w:ascii="Times New Roman" w:hAnsi="Times New Roman"/>
          <w:sz w:val="24"/>
        </w:rPr>
        <w:t>in the project implementation, the project applicant will invest at least 25% of the total eligible costs of the project, using its own resources or external financing, which is not related to any commercial support in accordance with the provisions of the Commission Regulation No. </w:t>
      </w:r>
      <w:hyperlink r:id="rId16">
        <w:r>
          <w:rPr>
            <w:rStyle w:val="Hyperlink"/>
            <w:rFonts w:ascii="Times New Roman" w:hAnsi="Times New Roman"/>
            <w:sz w:val="24"/>
          </w:rPr>
          <w:t>651/2004</w:t>
        </w:r>
      </w:hyperlink>
      <w:r>
        <w:rPr>
          <w:rFonts w:ascii="Times New Roman" w:hAnsi="Times New Roman"/>
          <w:sz w:val="24"/>
        </w:rPr>
        <w:t>, Article 14 (14);</w:t>
      </w:r>
    </w:p>
    <w:p w:rsidR="00427BAB" w:rsidRPr="00BD736B" w:rsidRDefault="00EA62AE" w:rsidP="00C35BC1">
      <w:pPr>
        <w:pStyle w:val="ListParagraph"/>
        <w:numPr>
          <w:ilvl w:val="0"/>
          <w:numId w:val="1"/>
        </w:numPr>
        <w:jc w:val="both"/>
        <w:rPr>
          <w:rFonts w:ascii="Times New Roman" w:hAnsi="Times New Roman" w:cs="Times New Roman"/>
          <w:sz w:val="24"/>
          <w:szCs w:val="24"/>
        </w:rPr>
      </w:pPr>
      <w:r>
        <w:rPr>
          <w:rFonts w:ascii="Times New Roman" w:hAnsi="Times New Roman"/>
          <w:sz w:val="24"/>
        </w:rPr>
        <w:t xml:space="preserve">all initial investment projects implemented and planned by the project applicant (at the group level) which qualify as single investment projects in accordance with Commission Regulation No. </w:t>
      </w:r>
      <w:hyperlink r:id="rId17">
        <w:r>
          <w:rPr>
            <w:rStyle w:val="Hyperlink"/>
            <w:rFonts w:ascii="Times New Roman" w:hAnsi="Times New Roman"/>
            <w:sz w:val="24"/>
          </w:rPr>
          <w:t>651/2014</w:t>
        </w:r>
      </w:hyperlink>
      <w:r>
        <w:rPr>
          <w:rFonts w:ascii="Times New Roman" w:hAnsi="Times New Roman"/>
          <w:sz w:val="24"/>
        </w:rPr>
        <w:t>, Article 14 (13) do not exceed EUR 50 000 000;</w:t>
      </w:r>
    </w:p>
    <w:p w:rsidR="00427BAB" w:rsidRPr="00BD736B" w:rsidRDefault="00427BAB" w:rsidP="00427BAB">
      <w:pPr>
        <w:pStyle w:val="ListParagraph"/>
        <w:numPr>
          <w:ilvl w:val="0"/>
          <w:numId w:val="1"/>
        </w:numPr>
        <w:tabs>
          <w:tab w:val="left" w:pos="0"/>
        </w:tabs>
        <w:spacing w:after="0" w:line="240" w:lineRule="auto"/>
        <w:jc w:val="both"/>
        <w:rPr>
          <w:rFonts w:ascii="Times New Roman" w:hAnsi="Times New Roman"/>
          <w:sz w:val="24"/>
          <w:szCs w:val="24"/>
          <w:shd w:val="clear" w:color="auto" w:fill="FFFFFF"/>
        </w:rPr>
      </w:pPr>
      <w:r>
        <w:rPr>
          <w:rFonts w:ascii="Times New Roman" w:hAnsi="Times New Roman"/>
          <w:sz w:val="24"/>
          <w:shd w:val="clear" w:color="auto" w:fill="FFFFFF"/>
        </w:rPr>
        <w:t>during the last two years prior to applying for support, the project applicant has not carried out a transfer of the economic activities of the project area to a place of business where the initial investment, for which assistance is requested, was made and undertakes not to do so two years after the initial investment, for which the support was requested, has been completed;</w:t>
      </w:r>
    </w:p>
    <w:p w:rsidR="00A45457" w:rsidRPr="00BD736B" w:rsidRDefault="00484841" w:rsidP="00F77B0E">
      <w:pPr>
        <w:pStyle w:val="ListParagraph"/>
        <w:numPr>
          <w:ilvl w:val="0"/>
          <w:numId w:val="1"/>
        </w:numPr>
        <w:tabs>
          <w:tab w:val="left" w:pos="0"/>
        </w:tabs>
        <w:spacing w:after="0" w:line="240" w:lineRule="auto"/>
        <w:jc w:val="both"/>
        <w:rPr>
          <w:rFonts w:ascii="Times New Roman" w:hAnsi="Times New Roman"/>
          <w:sz w:val="24"/>
          <w:szCs w:val="24"/>
        </w:rPr>
      </w:pPr>
      <w:r>
        <w:rPr>
          <w:rFonts w:ascii="Times New Roman" w:hAnsi="Times New Roman"/>
          <w:sz w:val="24"/>
          <w:shd w:val="clear" w:color="auto" w:fill="FFFFFF"/>
        </w:rPr>
        <w:t xml:space="preserve">the support received will not be used for activities linked to exports to third countries or Member States, that is, support directly linked to the quantities exported, the establishment and operation of a distribution network or other current expenditure related to export operations </w:t>
      </w:r>
      <w:r>
        <w:rPr>
          <w:rFonts w:ascii="Times New Roman" w:hAnsi="Times New Roman"/>
          <w:sz w:val="24"/>
        </w:rPr>
        <w:t>(Commission Regulation 651/2014 Article 1 (2c));</w:t>
      </w:r>
    </w:p>
    <w:p w:rsidR="00EA62AE" w:rsidRPr="00BD736B" w:rsidRDefault="00484841" w:rsidP="00427BAB">
      <w:pPr>
        <w:pStyle w:val="ListParagraph"/>
        <w:numPr>
          <w:ilvl w:val="0"/>
          <w:numId w:val="1"/>
        </w:numPr>
        <w:tabs>
          <w:tab w:val="left" w:pos="0"/>
        </w:tabs>
        <w:spacing w:after="0" w:line="240" w:lineRule="auto"/>
        <w:jc w:val="both"/>
        <w:rPr>
          <w:rFonts w:ascii="Times New Roman" w:hAnsi="Times New Roman"/>
          <w:sz w:val="24"/>
          <w:szCs w:val="24"/>
        </w:rPr>
      </w:pPr>
      <w:r>
        <w:rPr>
          <w:rFonts w:ascii="Times New Roman" w:hAnsi="Times New Roman"/>
          <w:sz w:val="24"/>
          <w:shd w:val="clear" w:color="auto" w:fill="FFFFFF"/>
        </w:rPr>
        <w:t xml:space="preserve">the support received will not be used to </w:t>
      </w:r>
      <w:r>
        <w:rPr>
          <w:rFonts w:ascii="Times New Roman" w:hAnsi="Times New Roman"/>
          <w:sz w:val="24"/>
        </w:rPr>
        <w:t>use local products instead of imported goods (Article 1 (2d) of the Commission Regulation 651/2014).</w:t>
      </w:r>
    </w:p>
    <w:p w:rsidR="00EA62AE" w:rsidRPr="00BD736B" w:rsidRDefault="00EA62AE" w:rsidP="00C35BC1">
      <w:pPr>
        <w:jc w:val="both"/>
        <w:rPr>
          <w:rFonts w:ascii="Times New Roman" w:hAnsi="Times New Roman" w:cs="Times New Roman"/>
          <w:sz w:val="24"/>
          <w:szCs w:val="24"/>
        </w:rPr>
      </w:pPr>
    </w:p>
    <w:p w:rsidR="00D91C53" w:rsidRPr="00BD736B" w:rsidRDefault="00D91C53" w:rsidP="00C35BC1">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3"/>
        <w:gridCol w:w="2977"/>
      </w:tblGrid>
      <w:tr w:rsidR="00D91C53" w:rsidRPr="00BD736B" w:rsidTr="000A1E54">
        <w:tc>
          <w:tcPr>
            <w:tcW w:w="1413" w:type="dxa"/>
          </w:tcPr>
          <w:p w:rsidR="00D91C53" w:rsidRPr="00BD736B" w:rsidRDefault="00D91C53" w:rsidP="00C35BC1">
            <w:pPr>
              <w:jc w:val="both"/>
              <w:rPr>
                <w:rFonts w:ascii="Times New Roman" w:hAnsi="Times New Roman" w:cs="Times New Roman"/>
                <w:sz w:val="24"/>
                <w:szCs w:val="24"/>
              </w:rPr>
            </w:pPr>
          </w:p>
          <w:p w:rsidR="00D91C53" w:rsidRPr="00BD736B" w:rsidRDefault="00D91C53" w:rsidP="00C35BC1">
            <w:pPr>
              <w:jc w:val="both"/>
              <w:rPr>
                <w:rFonts w:ascii="Times New Roman" w:hAnsi="Times New Roman" w:cs="Times New Roman"/>
                <w:sz w:val="24"/>
                <w:szCs w:val="24"/>
              </w:rPr>
            </w:pPr>
            <w:r>
              <w:rPr>
                <w:rFonts w:ascii="Times New Roman" w:hAnsi="Times New Roman"/>
                <w:sz w:val="24"/>
              </w:rPr>
              <w:t>Signature:</w:t>
            </w:r>
          </w:p>
          <w:p w:rsidR="00D91C53" w:rsidRPr="00BD736B" w:rsidRDefault="00D91C53" w:rsidP="00C35BC1">
            <w:pPr>
              <w:jc w:val="both"/>
              <w:rPr>
                <w:rFonts w:ascii="Times New Roman" w:hAnsi="Times New Roman" w:cs="Times New Roman"/>
                <w:sz w:val="24"/>
                <w:szCs w:val="24"/>
              </w:rPr>
            </w:pPr>
          </w:p>
        </w:tc>
        <w:tc>
          <w:tcPr>
            <w:tcW w:w="2977" w:type="dxa"/>
            <w:tcBorders>
              <w:bottom w:val="single" w:sz="4" w:space="0" w:color="auto"/>
            </w:tcBorders>
          </w:tcPr>
          <w:p w:rsidR="00D91C53" w:rsidRPr="00BD736B" w:rsidRDefault="00D91C53" w:rsidP="00C35BC1">
            <w:pPr>
              <w:jc w:val="both"/>
              <w:rPr>
                <w:rFonts w:ascii="Times New Roman" w:hAnsi="Times New Roman" w:cs="Times New Roman"/>
                <w:sz w:val="24"/>
                <w:szCs w:val="24"/>
              </w:rPr>
            </w:pPr>
          </w:p>
          <w:p w:rsidR="00D91C53" w:rsidRPr="00BD736B" w:rsidRDefault="00D91C53" w:rsidP="00C35BC1">
            <w:pPr>
              <w:jc w:val="both"/>
              <w:rPr>
                <w:rFonts w:ascii="Times New Roman" w:hAnsi="Times New Roman" w:cs="Times New Roman"/>
                <w:sz w:val="24"/>
                <w:szCs w:val="24"/>
              </w:rPr>
            </w:pPr>
          </w:p>
          <w:p w:rsidR="00D91C53" w:rsidRPr="00BD736B" w:rsidRDefault="00D91C53" w:rsidP="00C35BC1">
            <w:pPr>
              <w:jc w:val="both"/>
              <w:rPr>
                <w:rFonts w:ascii="Times New Roman" w:hAnsi="Times New Roman" w:cs="Times New Roman"/>
                <w:sz w:val="24"/>
                <w:szCs w:val="24"/>
              </w:rPr>
            </w:pPr>
          </w:p>
        </w:tc>
      </w:tr>
      <w:tr w:rsidR="00D91C53" w:rsidRPr="00BD736B" w:rsidTr="000A1E54">
        <w:tc>
          <w:tcPr>
            <w:tcW w:w="1413" w:type="dxa"/>
            <w:vMerge w:val="restart"/>
          </w:tcPr>
          <w:p w:rsidR="00D91C53" w:rsidRPr="00BD736B" w:rsidRDefault="00D91C53" w:rsidP="00C35BC1">
            <w:pPr>
              <w:jc w:val="both"/>
              <w:rPr>
                <w:rFonts w:ascii="Times New Roman" w:hAnsi="Times New Roman" w:cs="Times New Roman"/>
                <w:sz w:val="24"/>
                <w:szCs w:val="24"/>
              </w:rPr>
            </w:pPr>
          </w:p>
          <w:p w:rsidR="00D91C53" w:rsidRPr="00BD736B" w:rsidRDefault="00D91C53" w:rsidP="00C35BC1">
            <w:pPr>
              <w:jc w:val="both"/>
              <w:rPr>
                <w:rFonts w:ascii="Times New Roman" w:hAnsi="Times New Roman" w:cs="Times New Roman"/>
                <w:sz w:val="24"/>
                <w:szCs w:val="24"/>
              </w:rPr>
            </w:pPr>
          </w:p>
          <w:p w:rsidR="00D91C53" w:rsidRPr="00BD736B" w:rsidRDefault="00D91C53" w:rsidP="00C35BC1">
            <w:pPr>
              <w:jc w:val="both"/>
              <w:rPr>
                <w:rFonts w:ascii="Times New Roman" w:hAnsi="Times New Roman" w:cs="Times New Roman"/>
                <w:sz w:val="24"/>
                <w:szCs w:val="24"/>
              </w:rPr>
            </w:pPr>
            <w:r>
              <w:rPr>
                <w:rFonts w:ascii="Times New Roman" w:hAnsi="Times New Roman"/>
                <w:sz w:val="24"/>
              </w:rPr>
              <w:t>Date:</w:t>
            </w:r>
          </w:p>
          <w:p w:rsidR="00D91C53" w:rsidRPr="00BD736B" w:rsidRDefault="00D91C53" w:rsidP="00C35BC1">
            <w:pPr>
              <w:jc w:val="both"/>
              <w:rPr>
                <w:rFonts w:ascii="Times New Roman" w:hAnsi="Times New Roman" w:cs="Times New Roman"/>
                <w:sz w:val="24"/>
                <w:szCs w:val="24"/>
              </w:rPr>
            </w:pPr>
          </w:p>
        </w:tc>
        <w:tc>
          <w:tcPr>
            <w:tcW w:w="2977" w:type="dxa"/>
            <w:tcBorders>
              <w:top w:val="single" w:sz="4" w:space="0" w:color="auto"/>
              <w:bottom w:val="single" w:sz="4" w:space="0" w:color="auto"/>
            </w:tcBorders>
          </w:tcPr>
          <w:p w:rsidR="00D91C53" w:rsidRPr="00BD736B" w:rsidRDefault="00D91C53" w:rsidP="00C35BC1">
            <w:pPr>
              <w:jc w:val="both"/>
              <w:rPr>
                <w:rFonts w:ascii="Times New Roman" w:hAnsi="Times New Roman" w:cs="Times New Roman"/>
                <w:sz w:val="24"/>
                <w:szCs w:val="24"/>
              </w:rPr>
            </w:pPr>
          </w:p>
          <w:p w:rsidR="00D91C53" w:rsidRPr="00BD736B" w:rsidRDefault="00D91C53" w:rsidP="00C35BC1">
            <w:pPr>
              <w:jc w:val="both"/>
              <w:rPr>
                <w:rFonts w:ascii="Times New Roman" w:hAnsi="Times New Roman" w:cs="Times New Roman"/>
                <w:sz w:val="24"/>
                <w:szCs w:val="24"/>
              </w:rPr>
            </w:pPr>
          </w:p>
          <w:p w:rsidR="00D91C53" w:rsidRPr="00BD736B" w:rsidRDefault="00D91C53" w:rsidP="00C35BC1">
            <w:pPr>
              <w:jc w:val="both"/>
              <w:rPr>
                <w:rFonts w:ascii="Times New Roman" w:hAnsi="Times New Roman" w:cs="Times New Roman"/>
                <w:sz w:val="24"/>
                <w:szCs w:val="24"/>
              </w:rPr>
            </w:pPr>
          </w:p>
        </w:tc>
      </w:tr>
      <w:tr w:rsidR="00D91C53" w:rsidRPr="00C35BC1" w:rsidTr="000A1E54">
        <w:tc>
          <w:tcPr>
            <w:tcW w:w="1413" w:type="dxa"/>
            <w:vMerge/>
          </w:tcPr>
          <w:p w:rsidR="00D91C53" w:rsidRPr="00BD736B" w:rsidRDefault="00D91C53" w:rsidP="00C35BC1">
            <w:pPr>
              <w:jc w:val="both"/>
              <w:rPr>
                <w:rFonts w:ascii="Times New Roman" w:hAnsi="Times New Roman" w:cs="Times New Roman"/>
                <w:sz w:val="24"/>
                <w:szCs w:val="24"/>
              </w:rPr>
            </w:pPr>
          </w:p>
        </w:tc>
        <w:tc>
          <w:tcPr>
            <w:tcW w:w="2977" w:type="dxa"/>
            <w:tcBorders>
              <w:top w:val="single" w:sz="4" w:space="0" w:color="auto"/>
            </w:tcBorders>
          </w:tcPr>
          <w:p w:rsidR="00D91C53" w:rsidRPr="00C35BC1" w:rsidRDefault="00D91C53" w:rsidP="00C35BC1">
            <w:pPr>
              <w:jc w:val="both"/>
              <w:rPr>
                <w:rFonts w:ascii="Times New Roman" w:hAnsi="Times New Roman" w:cs="Times New Roman"/>
                <w:sz w:val="24"/>
                <w:szCs w:val="24"/>
              </w:rPr>
            </w:pPr>
            <w:r>
              <w:rPr>
                <w:rFonts w:ascii="Times New Roman" w:hAnsi="Times New Roman"/>
                <w:sz w:val="24"/>
              </w:rPr>
              <w:t>dd/mm/yyyy</w:t>
            </w:r>
          </w:p>
        </w:tc>
      </w:tr>
    </w:tbl>
    <w:p w:rsidR="002E033A" w:rsidRPr="00C35BC1" w:rsidRDefault="002E033A" w:rsidP="00C35BC1">
      <w:pPr>
        <w:jc w:val="both"/>
        <w:rPr>
          <w:rFonts w:ascii="Times New Roman" w:hAnsi="Times New Roman" w:cs="Times New Roman"/>
          <w:sz w:val="24"/>
          <w:szCs w:val="24"/>
        </w:rPr>
      </w:pPr>
    </w:p>
    <w:p w:rsidR="002E033A" w:rsidRPr="00C35BC1" w:rsidRDefault="00067E28" w:rsidP="00C35BC1">
      <w:pPr>
        <w:jc w:val="both"/>
        <w:rPr>
          <w:rFonts w:ascii="Times New Roman" w:hAnsi="Times New Roman" w:cs="Times New Roman"/>
          <w:sz w:val="24"/>
          <w:szCs w:val="24"/>
        </w:rPr>
      </w:pPr>
      <w:r>
        <w:tab/>
      </w:r>
    </w:p>
    <w:p w:rsidR="00222ADD" w:rsidRPr="00C35BC1" w:rsidRDefault="00222ADD" w:rsidP="00C35BC1">
      <w:pPr>
        <w:jc w:val="both"/>
        <w:rPr>
          <w:rFonts w:ascii="Times New Roman" w:hAnsi="Times New Roman" w:cs="Times New Roman"/>
          <w:sz w:val="24"/>
          <w:szCs w:val="24"/>
        </w:rPr>
      </w:pPr>
    </w:p>
    <w:sectPr w:rsidR="00222ADD" w:rsidRPr="00C35BC1" w:rsidSect="00EE507A">
      <w:pgSz w:w="11906" w:h="16838"/>
      <w:pgMar w:top="1440" w:right="1800" w:bottom="1440" w:left="180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Ivonna Iļjenko" w:date="2017-11-27T10:00:00Z" w:initials="II">
    <w:p w:rsidR="00144A26" w:rsidRDefault="00144A26">
      <w:pPr>
        <w:pStyle w:val="CommentText"/>
      </w:pPr>
      <w:r>
        <w:rPr>
          <w:rStyle w:val="CommentReference"/>
        </w:rPr>
        <w:annotationRef/>
      </w:r>
      <w:r>
        <w:t>2,5 pages in total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A4A3E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908" w:rsidRDefault="00AC6908" w:rsidP="007101DB">
      <w:pPr>
        <w:spacing w:after="0"/>
      </w:pPr>
      <w:r>
        <w:separator/>
      </w:r>
    </w:p>
  </w:endnote>
  <w:endnote w:type="continuationSeparator" w:id="1">
    <w:p w:rsidR="00AC6908" w:rsidRDefault="00AC6908" w:rsidP="007101D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908" w:rsidRDefault="00AC6908" w:rsidP="007101DB">
      <w:pPr>
        <w:spacing w:after="0"/>
      </w:pPr>
      <w:r>
        <w:separator/>
      </w:r>
    </w:p>
  </w:footnote>
  <w:footnote w:type="continuationSeparator" w:id="1">
    <w:p w:rsidR="00AC6908" w:rsidRDefault="00AC6908" w:rsidP="007101DB">
      <w:pPr>
        <w:spacing w:after="0"/>
      </w:pPr>
      <w:r>
        <w:continuationSeparator/>
      </w:r>
    </w:p>
  </w:footnote>
  <w:footnote w:id="2">
    <w:p w:rsidR="00427BAB" w:rsidRPr="000A1E54" w:rsidRDefault="00427BAB" w:rsidP="00EA62AE">
      <w:pPr>
        <w:pStyle w:val="FootnoteText"/>
        <w:ind w:left="284"/>
        <w:jc w:val="both"/>
        <w:rPr>
          <w:rFonts w:ascii="Times New Roman" w:hAnsi="Times New Roman" w:cs="Times New Roman"/>
        </w:rPr>
      </w:pPr>
      <w:r>
        <w:rPr>
          <w:rStyle w:val="FootnoteReference"/>
        </w:rPr>
        <w:footnoteRef/>
      </w:r>
      <w:r>
        <w:rPr>
          <w:rFonts w:ascii="Times New Roman" w:hAnsi="Times New Roman"/>
        </w:rPr>
        <w:t>In accordance with Regulation (EU) No 1130/2011 of the European Parliament and the European Council of 17 December 2013 regarding common provisions on the European Regional Development Fund, the European Social Fund, the Cohesion Fund, the European Agricultural Fund for Rural Development and the European Maritime and Fisheries Fund, and the general provisions on the European Regional Development Fund, the European Social Fund, the Cohesion Fund and the European Maritime and Fisheries Fund and repealing Council Regulation (EC) No. Article 1083/2006, Article 65 (11).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3F3F"/>
    <w:multiLevelType w:val="hybridMultilevel"/>
    <w:tmpl w:val="E8BE7C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D372DF"/>
    <w:multiLevelType w:val="hybridMultilevel"/>
    <w:tmpl w:val="92B494DE"/>
    <w:lvl w:ilvl="0" w:tplc="80244380">
      <w:start w:val="1"/>
      <w:numFmt w:val="lowerLetter"/>
      <w:lvlText w:val="%1)"/>
      <w:lvlJc w:val="left"/>
      <w:pPr>
        <w:ind w:left="1210" w:hanging="360"/>
      </w:pPr>
      <w:rPr>
        <w:rFonts w:hint="default"/>
        <w:color w:val="auto"/>
      </w:rPr>
    </w:lvl>
    <w:lvl w:ilvl="1" w:tplc="04260019">
      <w:start w:val="1"/>
      <w:numFmt w:val="lowerLetter"/>
      <w:lvlText w:val="%2."/>
      <w:lvlJc w:val="left"/>
      <w:pPr>
        <w:ind w:left="1930" w:hanging="360"/>
      </w:pPr>
    </w:lvl>
    <w:lvl w:ilvl="2" w:tplc="0426001B">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2">
    <w:nsid w:val="26356DA2"/>
    <w:multiLevelType w:val="hybridMultilevel"/>
    <w:tmpl w:val="454245F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6C4C0115"/>
    <w:multiLevelType w:val="hybridMultilevel"/>
    <w:tmpl w:val="D71629A8"/>
    <w:lvl w:ilvl="0" w:tplc="DA929E1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onna Iļjenko">
    <w15:presenceInfo w15:providerId="AD" w15:userId="S-1-5-21-507921405-1284227242-1801674531-502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E033A"/>
    <w:rsid w:val="00067E28"/>
    <w:rsid w:val="00083961"/>
    <w:rsid w:val="00094879"/>
    <w:rsid w:val="000A1E54"/>
    <w:rsid w:val="000B535E"/>
    <w:rsid w:val="00124393"/>
    <w:rsid w:val="00144A26"/>
    <w:rsid w:val="00222ADD"/>
    <w:rsid w:val="00295445"/>
    <w:rsid w:val="002A68A1"/>
    <w:rsid w:val="002B1595"/>
    <w:rsid w:val="002E033A"/>
    <w:rsid w:val="002F3267"/>
    <w:rsid w:val="003001F5"/>
    <w:rsid w:val="003029D2"/>
    <w:rsid w:val="00353DEC"/>
    <w:rsid w:val="00427BAB"/>
    <w:rsid w:val="00461306"/>
    <w:rsid w:val="00474F4F"/>
    <w:rsid w:val="00484841"/>
    <w:rsid w:val="004E51B3"/>
    <w:rsid w:val="005D5710"/>
    <w:rsid w:val="00613BA9"/>
    <w:rsid w:val="006A0A2E"/>
    <w:rsid w:val="006A282F"/>
    <w:rsid w:val="007101DB"/>
    <w:rsid w:val="00761AD3"/>
    <w:rsid w:val="007D2B6C"/>
    <w:rsid w:val="008513C7"/>
    <w:rsid w:val="00855969"/>
    <w:rsid w:val="00882AB8"/>
    <w:rsid w:val="008A2D33"/>
    <w:rsid w:val="009073B0"/>
    <w:rsid w:val="009126B8"/>
    <w:rsid w:val="00980335"/>
    <w:rsid w:val="00A45457"/>
    <w:rsid w:val="00A70FBE"/>
    <w:rsid w:val="00AC6908"/>
    <w:rsid w:val="00BD471D"/>
    <w:rsid w:val="00BD736B"/>
    <w:rsid w:val="00C35BC1"/>
    <w:rsid w:val="00CB738F"/>
    <w:rsid w:val="00D450CA"/>
    <w:rsid w:val="00D54ABC"/>
    <w:rsid w:val="00D742CA"/>
    <w:rsid w:val="00D91C53"/>
    <w:rsid w:val="00E20D77"/>
    <w:rsid w:val="00E235D3"/>
    <w:rsid w:val="00EA62AE"/>
    <w:rsid w:val="00EE507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B0"/>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basedOn w:val="DefaultParagraphFont"/>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basedOn w:val="CommentText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basedOn w:val="DefaultParagraphFont"/>
    <w:link w:val="FootnoteText"/>
    <w:uiPriority w:val="99"/>
    <w:semiHidden/>
    <w:rsid w:val="007101DB"/>
    <w:rPr>
      <w:sz w:val="20"/>
      <w:szCs w:val="20"/>
    </w:rPr>
  </w:style>
  <w:style w:type="character" w:styleId="FootnoteReference">
    <w:name w:val="footnote reference"/>
    <w:basedOn w:val="DefaultParagraphFont"/>
    <w:uiPriority w:val="99"/>
    <w:semiHidden/>
    <w:unhideWhenUsed/>
    <w:rsid w:val="007101DB"/>
    <w:rPr>
      <w:vertAlign w:val="superscript"/>
    </w:rPr>
  </w:style>
  <w:style w:type="character" w:customStyle="1" w:styleId="Heading1Char">
    <w:name w:val="Heading 1 Char"/>
    <w:basedOn w:val="DefaultParagraphFont"/>
    <w:link w:val="Heading1"/>
    <w:uiPriority w:val="9"/>
    <w:rsid w:val="009073B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9073B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9073B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9073B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9073B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9073B0"/>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9073B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9073B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9073B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9073B0"/>
    <w:pPr>
      <w:spacing w:line="240" w:lineRule="auto"/>
    </w:pPr>
    <w:rPr>
      <w:b/>
      <w:bCs/>
      <w:smallCaps/>
      <w:color w:val="44546A" w:themeColor="text2"/>
    </w:rPr>
  </w:style>
  <w:style w:type="paragraph" w:styleId="Title">
    <w:name w:val="Title"/>
    <w:basedOn w:val="Normal"/>
    <w:next w:val="Normal"/>
    <w:link w:val="TitleChar"/>
    <w:uiPriority w:val="10"/>
    <w:qFormat/>
    <w:rsid w:val="009073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9073B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9073B0"/>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9073B0"/>
    <w:rPr>
      <w:b/>
      <w:bCs/>
    </w:rPr>
  </w:style>
  <w:style w:type="character" w:styleId="Emphasis">
    <w:name w:val="Emphasis"/>
    <w:basedOn w:val="DefaultParagraphFont"/>
    <w:uiPriority w:val="20"/>
    <w:qFormat/>
    <w:rsid w:val="009073B0"/>
    <w:rPr>
      <w:i/>
      <w:iCs/>
    </w:rPr>
  </w:style>
  <w:style w:type="paragraph" w:styleId="NoSpacing">
    <w:name w:val="No Spacing"/>
    <w:uiPriority w:val="1"/>
    <w:qFormat/>
    <w:rsid w:val="009073B0"/>
    <w:pPr>
      <w:spacing w:after="0" w:line="240" w:lineRule="auto"/>
    </w:pPr>
  </w:style>
  <w:style w:type="paragraph" w:styleId="Quote">
    <w:name w:val="Quote"/>
    <w:basedOn w:val="Normal"/>
    <w:next w:val="Normal"/>
    <w:link w:val="QuoteChar"/>
    <w:uiPriority w:val="29"/>
    <w:qFormat/>
    <w:rsid w:val="009073B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9073B0"/>
    <w:rPr>
      <w:color w:val="44546A" w:themeColor="text2"/>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073B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073B0"/>
    <w:rPr>
      <w:i/>
      <w:iCs/>
      <w:color w:val="595959" w:themeColor="text1" w:themeTint="A6"/>
    </w:rPr>
  </w:style>
  <w:style w:type="character" w:styleId="IntenseEmphasis">
    <w:name w:val="Intense Emphasis"/>
    <w:basedOn w:val="DefaultParagraphFont"/>
    <w:uiPriority w:val="21"/>
    <w:qFormat/>
    <w:rsid w:val="009073B0"/>
    <w:rPr>
      <w:b/>
      <w:bCs/>
      <w:i/>
      <w:iCs/>
    </w:rPr>
  </w:style>
  <w:style w:type="character" w:styleId="SubtleReference">
    <w:name w:val="Subtle Reference"/>
    <w:basedOn w:val="DefaultParagraphFont"/>
    <w:uiPriority w:val="31"/>
    <w:qFormat/>
    <w:rsid w:val="009073B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073B0"/>
    <w:rPr>
      <w:b/>
      <w:bCs/>
      <w:smallCaps/>
      <w:color w:val="44546A" w:themeColor="text2"/>
      <w:u w:val="single"/>
    </w:rPr>
  </w:style>
  <w:style w:type="character" w:styleId="BookTitle">
    <w:name w:val="Book Title"/>
    <w:basedOn w:val="DefaultParagraphFont"/>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62AE"/>
    <w:rPr>
      <w:color w:val="0000FF"/>
      <w:u w:val="single"/>
    </w:rPr>
  </w:style>
  <w:style w:type="paragraph" w:customStyle="1" w:styleId="tv213">
    <w:name w:val="tv213"/>
    <w:basedOn w:val="Normal"/>
    <w:rsid w:val="00C35B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35BC1"/>
    <w:pPr>
      <w:ind w:left="720"/>
      <w:contextualSpacing/>
    </w:pPr>
  </w:style>
</w:styles>
</file>

<file path=word/webSettings.xml><?xml version="1.0" encoding="utf-8"?>
<w:webSettings xmlns:r="http://schemas.openxmlformats.org/officeDocument/2006/relationships" xmlns:w="http://schemas.openxmlformats.org/wordprocessingml/2006/main">
  <w:divs>
    <w:div w:id="381365498">
      <w:bodyDiv w:val="1"/>
      <w:marLeft w:val="0"/>
      <w:marRight w:val="0"/>
      <w:marTop w:val="0"/>
      <w:marBottom w:val="0"/>
      <w:divBdr>
        <w:top w:val="none" w:sz="0" w:space="0" w:color="auto"/>
        <w:left w:val="none" w:sz="0" w:space="0" w:color="auto"/>
        <w:bottom w:val="none" w:sz="0" w:space="0" w:color="auto"/>
        <w:right w:val="none" w:sz="0" w:space="0" w:color="auto"/>
      </w:divBdr>
    </w:div>
    <w:div w:id="745880907">
      <w:bodyDiv w:val="1"/>
      <w:marLeft w:val="0"/>
      <w:marRight w:val="0"/>
      <w:marTop w:val="0"/>
      <w:marBottom w:val="0"/>
      <w:divBdr>
        <w:top w:val="none" w:sz="0" w:space="0" w:color="auto"/>
        <w:left w:val="none" w:sz="0" w:space="0" w:color="auto"/>
        <w:bottom w:val="none" w:sz="0" w:space="0" w:color="auto"/>
        <w:right w:val="none" w:sz="0" w:space="0" w:color="auto"/>
      </w:divBdr>
    </w:div>
    <w:div w:id="96908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eur-lex.europa.eu/eli/reg/2014/651/oj/?locale=LV"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hyperlink" Target="http://eur-lex.europa.eu/eli/reg/2014/651/oj/?locale=LV" TargetMode="External"/><Relationship Id="rId2" Type="http://schemas.openxmlformats.org/officeDocument/2006/relationships/numbering" Target="numbering.xml"/><Relationship Id="rId16" Type="http://schemas.openxmlformats.org/officeDocument/2006/relationships/hyperlink" Target="http://eur-lex.europa.eu/eli/reg/2014/651/oj/?locale=LV"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yperlink" Target="http://eur-lex.europa.eu/eli/reg/2014/651/oj/?locale=LV" TargetMode="External"/><Relationship Id="rId10" Type="http://schemas.openxmlformats.org/officeDocument/2006/relationships/hyperlink" Target="http://eur-lex.europa.eu/eli/reg/2014/651/oj/?locale=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267471-eiropas-savienibas-strukturfondu-un-kohezijas-fonda-2014-2020-gada-planosanas-perioda-vadibas-likums" TargetMode="External"/><Relationship Id="rId14" Type="http://schemas.openxmlformats.org/officeDocument/2006/relationships/hyperlink" Target="http://eur-lex.europa.eu/eli/reg/2014/651/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78A48-DBD5-4DDB-A82F-DEC7FCFF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4746</Words>
  <Characters>2706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Dace</cp:lastModifiedBy>
  <cp:revision>2</cp:revision>
  <cp:lastPrinted>2015-07-15T08:19:00Z</cp:lastPrinted>
  <dcterms:created xsi:type="dcterms:W3CDTF">2018-01-04T06:29:00Z</dcterms:created>
  <dcterms:modified xsi:type="dcterms:W3CDTF">2018-01-04T06:29:00Z</dcterms:modified>
</cp:coreProperties>
</file>