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Default="00E812E0">
      <w:r w:rsidRPr="00C04EC1">
        <w:rPr>
          <w:b/>
          <w:u w:val="single"/>
        </w:rPr>
        <w:t>Projekta iesnieguma sagatavošanas, iesniegšanas un vērtēšanas jautājumi</w:t>
      </w:r>
    </w:p>
    <w:p w:rsidR="00E812E0" w:rsidRDefault="00E812E0" w:rsidP="00E812E0"/>
    <w:p w:rsidR="0005274C" w:rsidRPr="0005274C" w:rsidRDefault="0005274C" w:rsidP="0005274C">
      <w:pPr>
        <w:jc w:val="both"/>
        <w:rPr>
          <w:b/>
          <w:bCs/>
        </w:rPr>
      </w:pPr>
      <w:r w:rsidRPr="0005274C">
        <w:rPr>
          <w:b/>
          <w:bCs/>
        </w:rPr>
        <w:t xml:space="preserve">Jautājums: </w:t>
      </w:r>
      <w:r w:rsidRPr="0005274C">
        <w:rPr>
          <w:bCs/>
        </w:rPr>
        <w:t>Projektā paredzētā iekārta nav izmantota Latvijā, bet ir pieejama kādā no ES valstīm. Vai šāda iekārta ir atbalstāma kā eksperimentālā tehnoloģija Latvijā programmas ietvaros?</w:t>
      </w:r>
    </w:p>
    <w:p w:rsidR="0005274C" w:rsidRPr="0005274C" w:rsidRDefault="0005274C" w:rsidP="0005274C">
      <w:pPr>
        <w:jc w:val="both"/>
      </w:pPr>
    </w:p>
    <w:p w:rsidR="0005274C" w:rsidRPr="0005274C" w:rsidRDefault="0005274C" w:rsidP="0005274C">
      <w:pPr>
        <w:jc w:val="both"/>
        <w:rPr>
          <w:i/>
        </w:rPr>
      </w:pPr>
      <w:r w:rsidRPr="0005274C">
        <w:rPr>
          <w:b/>
          <w:i/>
        </w:rPr>
        <w:t>Atbilde:</w:t>
      </w:r>
      <w:r w:rsidRPr="0005274C">
        <w:rPr>
          <w:i/>
        </w:rPr>
        <w:t xml:space="preserve"> </w:t>
      </w:r>
      <w:r w:rsidRPr="0005274C">
        <w:rPr>
          <w:i/>
        </w:rPr>
        <w:t>Nē. Iekārta nav atbalstāma programmas ietvaros, ja:</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projekta iesniedzējs PATS nav definējis prasības 20% no eksperimentālās tehnoloģijas izmaksām</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xml:space="preserve">·        20% no eksperimentālās tehnoloģijas izmaksām neatbilst </w:t>
      </w:r>
      <w:r w:rsidRPr="0005274C">
        <w:rPr>
          <w:rFonts w:ascii="Times New Roman" w:hAnsi="Times New Roman"/>
          <w:i/>
          <w:sz w:val="24"/>
          <w:szCs w:val="24"/>
          <w:u w:val="single"/>
        </w:rPr>
        <w:t>P&amp;A izmaksām eksperimentālajās ražotnēs</w:t>
      </w:r>
      <w:r w:rsidRPr="0005274C">
        <w:rPr>
          <w:rFonts w:ascii="Times New Roman" w:hAnsi="Times New Roman"/>
          <w:i/>
          <w:sz w:val="24"/>
          <w:szCs w:val="24"/>
        </w:rPr>
        <w:t xml:space="preserve"> (</w:t>
      </w:r>
      <w:proofErr w:type="spellStart"/>
      <w:r w:rsidRPr="0005274C">
        <w:rPr>
          <w:rFonts w:ascii="Times New Roman" w:hAnsi="Times New Roman"/>
          <w:i/>
          <w:iCs/>
          <w:sz w:val="24"/>
          <w:szCs w:val="24"/>
        </w:rPr>
        <w:t>Frascati</w:t>
      </w:r>
      <w:proofErr w:type="spellEnd"/>
      <w:r w:rsidRPr="0005274C">
        <w:rPr>
          <w:rFonts w:ascii="Times New Roman" w:hAnsi="Times New Roman"/>
          <w:i/>
          <w:iCs/>
          <w:sz w:val="24"/>
          <w:szCs w:val="24"/>
        </w:rPr>
        <w:t xml:space="preserve"> </w:t>
      </w:r>
      <w:proofErr w:type="spellStart"/>
      <w:r w:rsidRPr="0005274C">
        <w:rPr>
          <w:rFonts w:ascii="Times New Roman" w:hAnsi="Times New Roman"/>
          <w:i/>
          <w:iCs/>
          <w:sz w:val="24"/>
          <w:szCs w:val="24"/>
        </w:rPr>
        <w:t>manual</w:t>
      </w:r>
      <w:proofErr w:type="spellEnd"/>
      <w:r w:rsidRPr="0005274C">
        <w:rPr>
          <w:rFonts w:ascii="Times New Roman" w:hAnsi="Times New Roman"/>
          <w:i/>
          <w:iCs/>
          <w:sz w:val="24"/>
          <w:szCs w:val="24"/>
        </w:rPr>
        <w:t xml:space="preserve"> – pilot </w:t>
      </w:r>
      <w:proofErr w:type="spellStart"/>
      <w:r w:rsidRPr="0005274C">
        <w:rPr>
          <w:rFonts w:ascii="Times New Roman" w:hAnsi="Times New Roman"/>
          <w:i/>
          <w:iCs/>
          <w:sz w:val="24"/>
          <w:szCs w:val="24"/>
        </w:rPr>
        <w:t>plant</w:t>
      </w:r>
      <w:proofErr w:type="spellEnd"/>
      <w:r w:rsidRPr="0005274C">
        <w:rPr>
          <w:rFonts w:ascii="Times New Roman" w:hAnsi="Times New Roman"/>
          <w:i/>
          <w:iCs/>
          <w:sz w:val="24"/>
          <w:szCs w:val="24"/>
        </w:rPr>
        <w:t>).</w:t>
      </w:r>
    </w:p>
    <w:p w:rsidR="0005274C" w:rsidRPr="0005274C" w:rsidRDefault="0005274C" w:rsidP="0005274C">
      <w:pPr>
        <w:jc w:val="both"/>
        <w:rPr>
          <w:b/>
          <w:bCs/>
        </w:rPr>
      </w:pPr>
    </w:p>
    <w:p w:rsidR="0005274C" w:rsidRPr="0005274C" w:rsidRDefault="0005274C" w:rsidP="0005274C">
      <w:pPr>
        <w:jc w:val="both"/>
        <w:rPr>
          <w:b/>
          <w:bCs/>
        </w:rPr>
      </w:pPr>
      <w:r w:rsidRPr="0005274C">
        <w:rPr>
          <w:b/>
          <w:bCs/>
        </w:rPr>
        <w:t xml:space="preserve">Jautājums: </w:t>
      </w:r>
      <w:r w:rsidRPr="0005274C">
        <w:rPr>
          <w:bCs/>
        </w:rPr>
        <w:t>Kādi ir būtiskākie nosacījumi, atbilstoši kuriem tiks vērtēta eksperimentālā tehnoloģija?</w:t>
      </w:r>
    </w:p>
    <w:p w:rsidR="0005274C" w:rsidRDefault="0005274C" w:rsidP="0005274C">
      <w:pPr>
        <w:jc w:val="both"/>
        <w:rPr>
          <w:b/>
          <w:bCs/>
          <w:i/>
        </w:rPr>
      </w:pPr>
    </w:p>
    <w:p w:rsidR="0005274C" w:rsidRPr="0005274C" w:rsidRDefault="0005274C" w:rsidP="0005274C">
      <w:pPr>
        <w:jc w:val="both"/>
        <w:rPr>
          <w:b/>
          <w:bCs/>
          <w:i/>
        </w:rPr>
      </w:pPr>
      <w:r w:rsidRPr="0005274C">
        <w:rPr>
          <w:b/>
          <w:bCs/>
          <w:i/>
        </w:rPr>
        <w:t>Atbilde:</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xml:space="preserve">·        Projektā paredzētajam «jaunajam» produktam analogi </w:t>
      </w:r>
      <w:r w:rsidRPr="0005274C">
        <w:rPr>
          <w:rFonts w:ascii="Times New Roman" w:hAnsi="Times New Roman"/>
          <w:i/>
          <w:sz w:val="24"/>
          <w:szCs w:val="24"/>
          <w:u w:val="single"/>
        </w:rPr>
        <w:t>nav pieejami tirgū</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xml:space="preserve">·        Eksperimentālajai tehnoloģijai tehniskajā specifikācijā nav norādītas </w:t>
      </w:r>
      <w:r w:rsidRPr="0005274C">
        <w:rPr>
          <w:rFonts w:ascii="Times New Roman" w:hAnsi="Times New Roman"/>
          <w:i/>
          <w:sz w:val="24"/>
          <w:szCs w:val="24"/>
          <w:u w:val="single"/>
        </w:rPr>
        <w:t>standarta prasības</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xml:space="preserve">·        Eksperimentālās tehnoloģijas analogi </w:t>
      </w:r>
      <w:r w:rsidRPr="0005274C">
        <w:rPr>
          <w:rFonts w:ascii="Times New Roman" w:hAnsi="Times New Roman"/>
          <w:i/>
          <w:sz w:val="24"/>
          <w:szCs w:val="24"/>
          <w:u w:val="single"/>
        </w:rPr>
        <w:t>nav pieejami tirgū</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Eksperimentālā tehnoloģija neatbilst</w:t>
      </w:r>
      <w:r w:rsidRPr="0005274C">
        <w:rPr>
          <w:rFonts w:ascii="Times New Roman" w:hAnsi="Times New Roman"/>
          <w:i/>
          <w:sz w:val="24"/>
          <w:szCs w:val="24"/>
          <w:u w:val="single"/>
        </w:rPr>
        <w:t xml:space="preserve"> TRL9</w:t>
      </w:r>
      <w:r w:rsidRPr="0005274C">
        <w:rPr>
          <w:rFonts w:ascii="Times New Roman" w:hAnsi="Times New Roman"/>
          <w:i/>
          <w:sz w:val="24"/>
          <w:szCs w:val="24"/>
        </w:rPr>
        <w:t xml:space="preserve"> projekta īstenošanas beigās</w:t>
      </w:r>
    </w:p>
    <w:p w:rsidR="0005274C" w:rsidRPr="0005274C" w:rsidRDefault="0005274C" w:rsidP="0005274C">
      <w:pPr>
        <w:jc w:val="both"/>
        <w:rPr>
          <w:b/>
          <w:bCs/>
        </w:rPr>
      </w:pPr>
    </w:p>
    <w:p w:rsidR="0005274C" w:rsidRPr="0005274C" w:rsidRDefault="0005274C" w:rsidP="0005274C">
      <w:pPr>
        <w:jc w:val="both"/>
        <w:rPr>
          <w:bCs/>
        </w:rPr>
      </w:pPr>
      <w:r w:rsidRPr="0005274C">
        <w:rPr>
          <w:b/>
          <w:bCs/>
        </w:rPr>
        <w:t xml:space="preserve">Jautājums: </w:t>
      </w:r>
      <w:r w:rsidRPr="0005274C">
        <w:rPr>
          <w:bCs/>
        </w:rPr>
        <w:t>Vai eksperimentālā tehnoloģija var tikt izmantota komerciāliem mērķiem?</w:t>
      </w:r>
    </w:p>
    <w:p w:rsidR="0005274C" w:rsidRDefault="0005274C" w:rsidP="0005274C">
      <w:pPr>
        <w:jc w:val="both"/>
        <w:rPr>
          <w:b/>
          <w:i/>
        </w:rPr>
      </w:pPr>
    </w:p>
    <w:p w:rsidR="0005274C" w:rsidRPr="0005274C" w:rsidRDefault="0005274C" w:rsidP="0005274C">
      <w:pPr>
        <w:jc w:val="both"/>
        <w:rPr>
          <w:i/>
        </w:rPr>
      </w:pPr>
      <w:r w:rsidRPr="0005274C">
        <w:rPr>
          <w:b/>
          <w:i/>
        </w:rPr>
        <w:t>Atbilde:</w:t>
      </w:r>
      <w:r w:rsidRPr="0005274C">
        <w:rPr>
          <w:i/>
        </w:rPr>
        <w:t xml:space="preserve"> </w:t>
      </w:r>
      <w:r w:rsidRPr="0005274C">
        <w:rPr>
          <w:i/>
        </w:rPr>
        <w:t>Pēc projekta īstenošanas beigām (noslēguma pārskata iesniegšanas) eksperimentālo tehnoloģiju var izmantot komerciāliem mērķiem.</w:t>
      </w:r>
    </w:p>
    <w:p w:rsidR="0005274C" w:rsidRPr="0005274C" w:rsidRDefault="0005274C" w:rsidP="0005274C">
      <w:pPr>
        <w:jc w:val="both"/>
        <w:rPr>
          <w:i/>
        </w:rPr>
      </w:pPr>
      <w:r w:rsidRPr="0005274C">
        <w:rPr>
          <w:i/>
        </w:rPr>
        <w:t>Ja tā tiek izmantota komerciāliem mērķiem pirms projekta īstenošanas beigām, tad izmaksas ir neattiecināmas.</w:t>
      </w:r>
    </w:p>
    <w:p w:rsidR="0005274C" w:rsidRPr="0005274C" w:rsidRDefault="0005274C" w:rsidP="0005274C">
      <w:pPr>
        <w:jc w:val="both"/>
        <w:rPr>
          <w:b/>
          <w:bCs/>
        </w:rPr>
      </w:pPr>
    </w:p>
    <w:p w:rsidR="0005274C" w:rsidRPr="0005274C" w:rsidRDefault="0005274C" w:rsidP="0005274C">
      <w:pPr>
        <w:jc w:val="both"/>
        <w:rPr>
          <w:b/>
          <w:bCs/>
        </w:rPr>
      </w:pPr>
      <w:r w:rsidRPr="0005274C">
        <w:rPr>
          <w:b/>
          <w:bCs/>
        </w:rPr>
        <w:t xml:space="preserve">Jautājums: </w:t>
      </w:r>
      <w:r w:rsidRPr="0005274C">
        <w:rPr>
          <w:bCs/>
        </w:rPr>
        <w:t>Vai pasākuma ietvaros ir atbalstāma pētniecība un attīstība?</w:t>
      </w:r>
    </w:p>
    <w:p w:rsidR="0005274C" w:rsidRPr="0005274C" w:rsidRDefault="0005274C" w:rsidP="0005274C">
      <w:pPr>
        <w:jc w:val="both"/>
        <w:rPr>
          <w:b/>
          <w:bCs/>
        </w:rPr>
      </w:pPr>
    </w:p>
    <w:p w:rsidR="0005274C" w:rsidRPr="0005274C" w:rsidRDefault="0005274C" w:rsidP="0005274C">
      <w:pPr>
        <w:jc w:val="both"/>
        <w:rPr>
          <w:b/>
          <w:bCs/>
          <w:i/>
        </w:rPr>
      </w:pPr>
      <w:r w:rsidRPr="0005274C">
        <w:rPr>
          <w:b/>
          <w:bCs/>
          <w:i/>
        </w:rPr>
        <w:t>Atbilde:</w:t>
      </w:r>
    </w:p>
    <w:p w:rsidR="0005274C" w:rsidRPr="0005274C" w:rsidRDefault="0005274C" w:rsidP="0005274C">
      <w:pPr>
        <w:pStyle w:val="ListParagraph"/>
        <w:ind w:hanging="360"/>
        <w:jc w:val="both"/>
        <w:rPr>
          <w:rFonts w:ascii="Times New Roman" w:hAnsi="Times New Roman"/>
          <w:i/>
          <w:sz w:val="24"/>
          <w:szCs w:val="24"/>
        </w:rPr>
      </w:pPr>
      <w:r w:rsidRPr="0005274C">
        <w:rPr>
          <w:rFonts w:ascii="Times New Roman" w:hAnsi="Times New Roman"/>
          <w:i/>
          <w:sz w:val="24"/>
          <w:szCs w:val="24"/>
        </w:rPr>
        <w:t xml:space="preserve">1)      20% no eksperimentālās tehnoloģijas izmaksām jāatbilst </w:t>
      </w:r>
      <w:r w:rsidRPr="0005274C">
        <w:rPr>
          <w:rFonts w:ascii="Times New Roman" w:hAnsi="Times New Roman"/>
          <w:i/>
          <w:sz w:val="24"/>
          <w:szCs w:val="24"/>
          <w:u w:val="single"/>
        </w:rPr>
        <w:t>P&amp;A izmaksām eksperimentālajās ražotnēs</w:t>
      </w:r>
      <w:r w:rsidRPr="0005274C">
        <w:rPr>
          <w:rFonts w:ascii="Times New Roman" w:hAnsi="Times New Roman"/>
          <w:i/>
          <w:sz w:val="24"/>
          <w:szCs w:val="24"/>
        </w:rPr>
        <w:t>. (</w:t>
      </w:r>
      <w:proofErr w:type="spellStart"/>
      <w:r w:rsidRPr="0005274C">
        <w:rPr>
          <w:rFonts w:ascii="Times New Roman" w:hAnsi="Times New Roman"/>
          <w:i/>
          <w:iCs/>
          <w:sz w:val="24"/>
          <w:szCs w:val="24"/>
        </w:rPr>
        <w:t>Frascati</w:t>
      </w:r>
      <w:proofErr w:type="spellEnd"/>
      <w:r w:rsidRPr="0005274C">
        <w:rPr>
          <w:rFonts w:ascii="Times New Roman" w:hAnsi="Times New Roman"/>
          <w:i/>
          <w:iCs/>
          <w:sz w:val="24"/>
          <w:szCs w:val="24"/>
        </w:rPr>
        <w:t xml:space="preserve"> </w:t>
      </w:r>
      <w:proofErr w:type="spellStart"/>
      <w:r w:rsidRPr="0005274C">
        <w:rPr>
          <w:rFonts w:ascii="Times New Roman" w:hAnsi="Times New Roman"/>
          <w:i/>
          <w:iCs/>
          <w:sz w:val="24"/>
          <w:szCs w:val="24"/>
        </w:rPr>
        <w:t>manual</w:t>
      </w:r>
      <w:proofErr w:type="spellEnd"/>
      <w:r w:rsidRPr="0005274C">
        <w:rPr>
          <w:rFonts w:ascii="Times New Roman" w:hAnsi="Times New Roman"/>
          <w:i/>
          <w:iCs/>
          <w:sz w:val="24"/>
          <w:szCs w:val="24"/>
        </w:rPr>
        <w:t xml:space="preserve"> – pilot </w:t>
      </w:r>
      <w:proofErr w:type="spellStart"/>
      <w:r w:rsidRPr="0005274C">
        <w:rPr>
          <w:rFonts w:ascii="Times New Roman" w:hAnsi="Times New Roman"/>
          <w:i/>
          <w:iCs/>
          <w:sz w:val="24"/>
          <w:szCs w:val="24"/>
        </w:rPr>
        <w:t>plant</w:t>
      </w:r>
      <w:proofErr w:type="spellEnd"/>
      <w:r w:rsidRPr="0005274C">
        <w:rPr>
          <w:rFonts w:ascii="Times New Roman" w:hAnsi="Times New Roman"/>
          <w:i/>
          <w:iCs/>
          <w:sz w:val="24"/>
          <w:szCs w:val="24"/>
        </w:rPr>
        <w:t>).</w:t>
      </w:r>
    </w:p>
    <w:p w:rsidR="0005274C" w:rsidRPr="0005274C" w:rsidRDefault="0005274C" w:rsidP="0005274C">
      <w:pPr>
        <w:pStyle w:val="ListParagraph"/>
        <w:jc w:val="both"/>
        <w:rPr>
          <w:rFonts w:ascii="Times New Roman" w:hAnsi="Times New Roman"/>
          <w:i/>
          <w:sz w:val="24"/>
          <w:szCs w:val="24"/>
        </w:rPr>
      </w:pPr>
      <w:r w:rsidRPr="0005274C">
        <w:rPr>
          <w:rFonts w:ascii="Times New Roman" w:hAnsi="Times New Roman"/>
          <w:i/>
          <w:sz w:val="24"/>
          <w:szCs w:val="24"/>
        </w:rPr>
        <w:t xml:space="preserve">Projekta ietvaros pētniecības izmaksas, kas neatbilst OECD </w:t>
      </w:r>
      <w:proofErr w:type="spellStart"/>
      <w:r w:rsidRPr="0005274C">
        <w:rPr>
          <w:rFonts w:ascii="Times New Roman" w:hAnsi="Times New Roman"/>
          <w:i/>
          <w:sz w:val="24"/>
          <w:szCs w:val="24"/>
        </w:rPr>
        <w:t>Frascati</w:t>
      </w:r>
      <w:proofErr w:type="spellEnd"/>
      <w:r w:rsidRPr="0005274C">
        <w:rPr>
          <w:rFonts w:ascii="Times New Roman" w:hAnsi="Times New Roman"/>
          <w:i/>
          <w:sz w:val="24"/>
          <w:szCs w:val="24"/>
        </w:rPr>
        <w:t xml:space="preserve"> rokasgrāmatā sniegtajiem skaidrojumiem par pētniecības un attīstības izmaksām eksperimentālajās ražotnēs, nav attiecināmas.</w:t>
      </w:r>
    </w:p>
    <w:p w:rsidR="0005274C" w:rsidRPr="0005274C" w:rsidRDefault="0005274C" w:rsidP="0005274C">
      <w:pPr>
        <w:pStyle w:val="ListParagraph"/>
        <w:jc w:val="both"/>
        <w:rPr>
          <w:rFonts w:ascii="Times New Roman" w:hAnsi="Times New Roman"/>
          <w:i/>
          <w:sz w:val="24"/>
          <w:szCs w:val="24"/>
        </w:rPr>
      </w:pPr>
    </w:p>
    <w:p w:rsidR="0005274C" w:rsidRPr="0005274C" w:rsidRDefault="0005274C" w:rsidP="0005274C">
      <w:pPr>
        <w:pStyle w:val="ListParagraph"/>
        <w:ind w:hanging="360"/>
        <w:jc w:val="both"/>
        <w:rPr>
          <w:rFonts w:ascii="Times New Roman" w:hAnsi="Times New Roman"/>
          <w:i/>
          <w:sz w:val="24"/>
          <w:szCs w:val="24"/>
          <w:u w:val="single"/>
        </w:rPr>
      </w:pPr>
      <w:r w:rsidRPr="0005274C">
        <w:rPr>
          <w:rFonts w:ascii="Times New Roman" w:hAnsi="Times New Roman"/>
          <w:i/>
          <w:sz w:val="24"/>
          <w:szCs w:val="24"/>
        </w:rPr>
        <w:t xml:space="preserve">2)      Pētniecības un attīstības darbību izmaksas, kuras veiktas </w:t>
      </w:r>
      <w:r w:rsidRPr="0005274C">
        <w:rPr>
          <w:rFonts w:ascii="Times New Roman" w:hAnsi="Times New Roman"/>
          <w:i/>
          <w:sz w:val="24"/>
          <w:szCs w:val="24"/>
          <w:u w:val="single"/>
        </w:rPr>
        <w:t>ar mērķi definēt prasības eksperimentālajai tehnoloģijai, ir neattiecināmas.</w:t>
      </w:r>
    </w:p>
    <w:p w:rsidR="0005274C" w:rsidRDefault="0005274C" w:rsidP="0005274C">
      <w:pPr>
        <w:pStyle w:val="ListParagraph"/>
        <w:jc w:val="both"/>
        <w:rPr>
          <w:rFonts w:ascii="Times New Roman" w:hAnsi="Times New Roman"/>
          <w:i/>
          <w:sz w:val="24"/>
          <w:szCs w:val="24"/>
        </w:rPr>
      </w:pPr>
      <w:r w:rsidRPr="0005274C">
        <w:rPr>
          <w:rFonts w:ascii="Times New Roman" w:hAnsi="Times New Roman"/>
          <w:i/>
          <w:sz w:val="24"/>
          <w:szCs w:val="24"/>
        </w:rPr>
        <w:t>Projekta iesniegumā skaidro, kādas pētniecības un attīstības darbības projekta iesniedzējs vai tā saistītās personas ir veikušas pēdējā gada laikā pirms projekta iesniegšanas gada, lai definētu hipotētiskās prasības eksperimentālajai tehnoloģijai un tās komponentēm vai iekārtām. Veiktās pētniecības un attīstības darbības pamato ar zvērināta revidenta apliecinājumu.</w:t>
      </w:r>
    </w:p>
    <w:p w:rsidR="0005274C" w:rsidRDefault="0005274C" w:rsidP="0005274C">
      <w:pPr>
        <w:pStyle w:val="ListParagraph"/>
        <w:jc w:val="both"/>
        <w:rPr>
          <w:rFonts w:ascii="Times New Roman" w:hAnsi="Times New Roman"/>
          <w:i/>
          <w:sz w:val="24"/>
          <w:szCs w:val="24"/>
        </w:rPr>
      </w:pPr>
    </w:p>
    <w:p w:rsidR="0005274C" w:rsidRPr="0005274C" w:rsidRDefault="0005274C" w:rsidP="0005274C">
      <w:pPr>
        <w:pStyle w:val="ListParagraph"/>
        <w:jc w:val="both"/>
        <w:rPr>
          <w:rFonts w:ascii="Times New Roman" w:hAnsi="Times New Roman"/>
          <w:i/>
          <w:sz w:val="24"/>
          <w:szCs w:val="24"/>
          <w:u w:val="single"/>
        </w:rPr>
      </w:pPr>
      <w:bookmarkStart w:id="0" w:name="_GoBack"/>
      <w:bookmarkEnd w:id="0"/>
    </w:p>
    <w:p w:rsidR="001C2FF6" w:rsidRPr="00DA40DF" w:rsidRDefault="00E812E0" w:rsidP="00DA40DF">
      <w:pPr>
        <w:spacing w:before="100" w:beforeAutospacing="1" w:after="100" w:afterAutospacing="1"/>
        <w:jc w:val="both"/>
      </w:pPr>
      <w:r w:rsidRPr="00DA40DF">
        <w:rPr>
          <w:b/>
        </w:rPr>
        <w:lastRenderedPageBreak/>
        <w:t xml:space="preserve">Jautājums: </w:t>
      </w:r>
      <w:r w:rsidR="001C2FF6" w:rsidRPr="00DA40DF">
        <w:t>Vai Jūs, lūdzu, varētu sniegt skaidrojumu par pasākuma “Atbalsts jaunu produktu ieviešanai ražošanā” vērtēšanas 1.kritēriju (Projekta ieguldījums RIS3 rādītāja “Produktivitātes pieaugums” sasniegšanā projekta iesniedzēja vidējie darba ņēmēju mēneša darba ienākumi līdz projekta iesniegšanai)? </w:t>
      </w:r>
    </w:p>
    <w:p w:rsidR="001C2FF6" w:rsidRPr="00DA40DF" w:rsidRDefault="001C2FF6" w:rsidP="00DA40DF">
      <w:pPr>
        <w:spacing w:before="100" w:beforeAutospacing="1" w:after="100" w:afterAutospacing="1"/>
        <w:jc w:val="both"/>
      </w:pPr>
      <w:r w:rsidRPr="00DA40DF">
        <w:t xml:space="preserve">Kritērijā tiek vērtēti Projekta iesniedzēja vidējie darba ņēmēju mēneša darba ienākumi par periodu no 2016.gada 1.janvāra līdz projekta iesniegšanas mēnesim. Mūsu situācijā uzņēmums, kas plāno iesniegt projektu, dibināts 2015.gada decembrī un tā kā saimnieciskā darbība līdz šim vēl nav uzsākta, tad arī nav pieņemti darbinieki un netiek maksāta darba alga. </w:t>
      </w:r>
    </w:p>
    <w:p w:rsidR="00E812E0" w:rsidRPr="00DA40DF" w:rsidRDefault="00E812E0" w:rsidP="00907C38">
      <w:pPr>
        <w:jc w:val="both"/>
      </w:pPr>
    </w:p>
    <w:p w:rsidR="00C651F0" w:rsidRPr="00DA40DF" w:rsidRDefault="00E812E0" w:rsidP="00907C38">
      <w:pPr>
        <w:jc w:val="both"/>
        <w:rPr>
          <w:i/>
        </w:rPr>
      </w:pPr>
      <w:r w:rsidRPr="00DA40DF">
        <w:rPr>
          <w:b/>
          <w:i/>
        </w:rPr>
        <w:t>Atbilde:</w:t>
      </w:r>
      <w:r w:rsidRPr="00DA40DF">
        <w:rPr>
          <w:i/>
        </w:rPr>
        <w:t xml:space="preserve"> </w:t>
      </w:r>
      <w:r w:rsidR="00C651F0" w:rsidRPr="00DA40DF">
        <w:rPr>
          <w:i/>
        </w:rPr>
        <w:t>Saskaņā ar projekta iesniegumu vērtēšanas kritēriju piemērošanas metodiku, kvalitātes kritērijā Nr.1 minimālais nepieciešamais punktu skaits ir 1. Gadījumā, ja uzņēmums līdz projekta iesniegšanas brīdim nebūs uzsācis saimniecisko darbību un nebūs pieņemti darbinieku, kuriem tiek maksāta alga, uzņēmums nevarēs saņemt pietiekamu punktu skaitu šajā kvalitātes kritērijā.</w:t>
      </w:r>
    </w:p>
    <w:p w:rsidR="00E812E0" w:rsidRPr="00DA40DF" w:rsidRDefault="00E812E0" w:rsidP="00907C38">
      <w:pPr>
        <w:jc w:val="both"/>
        <w:rPr>
          <w:i/>
        </w:rPr>
      </w:pPr>
    </w:p>
    <w:p w:rsidR="001C2FF6" w:rsidRPr="00DA40DF" w:rsidRDefault="00E05F54" w:rsidP="00DA40DF">
      <w:pPr>
        <w:spacing w:before="100" w:beforeAutospacing="1" w:after="100" w:afterAutospacing="1"/>
        <w:jc w:val="both"/>
      </w:pPr>
      <w:r w:rsidRPr="00DA40DF">
        <w:rPr>
          <w:b/>
        </w:rPr>
        <w:t xml:space="preserve">Jautājums: </w:t>
      </w:r>
      <w:r w:rsidR="001C2FF6" w:rsidRPr="00DA40DF">
        <w:t xml:space="preserve">Vēl ir jautājums par to, kā tiks aprēķināti vidējie darba ņēmēju mēneša darba ienākumi, ja darba algas būs maksātas, piemēram, pēdējos 2 mēnešos pirms projekta iesniegšanas, bet no janvāra līdz jūlijam ir 7 mēneši? Vai visi darba ņēmēju ienākumi tiks dalīti ar kopējo mēnešu skaitu periodā (7 mēneši), vai arī tiks vērtēti darba ņēmēju ienākumi mēneša ietvaros? </w:t>
      </w:r>
    </w:p>
    <w:p w:rsidR="00BB350A" w:rsidRPr="00DA40DF" w:rsidRDefault="00BB350A" w:rsidP="00E05F54">
      <w:pPr>
        <w:jc w:val="both"/>
        <w:rPr>
          <w:b/>
        </w:rPr>
      </w:pPr>
    </w:p>
    <w:p w:rsidR="007A697D" w:rsidRPr="00DA40DF" w:rsidRDefault="007A697D" w:rsidP="00DA40DF">
      <w:pPr>
        <w:jc w:val="both"/>
        <w:rPr>
          <w:i/>
        </w:rPr>
      </w:pPr>
      <w:r w:rsidRPr="00DA40DF">
        <w:rPr>
          <w:b/>
          <w:i/>
        </w:rPr>
        <w:t>Atbilde:</w:t>
      </w:r>
      <w:r w:rsidRPr="00DA40DF">
        <w:rPr>
          <w:i/>
        </w:rPr>
        <w:t xml:space="preserve"> </w:t>
      </w:r>
      <w:r w:rsidR="009D7296" w:rsidRPr="00DA40DF">
        <w:rPr>
          <w:i/>
        </w:rPr>
        <w:t xml:space="preserve">Kvalitātes kritērijā Nr.1 projekta iesniedzēja vidējie darba ņēmēja darba ienākumi tiks ņemti par gadu, kad iesniegts projekta iesniegums . Gadījumā, ja komersants savu darbību uzsācis vēlāk, kā attiecīgā gada 1.janvārī, tad tiks ņemti vērā projekta iesniedzēja darba ņēmēju vidējie ienākumi  procentuāli komersanta darbības laikam vai laikam, kurā nodarbināti darba ņēmēji kalendārā mēneša ietvaros.  </w:t>
      </w:r>
    </w:p>
    <w:p w:rsidR="00BB350A" w:rsidRPr="00DA40DF" w:rsidRDefault="00BB350A" w:rsidP="00DA40DF">
      <w:pPr>
        <w:jc w:val="both"/>
        <w:rPr>
          <w:i/>
        </w:rPr>
      </w:pPr>
    </w:p>
    <w:p w:rsidR="008D0064" w:rsidRPr="00DA40DF" w:rsidRDefault="008D0064" w:rsidP="00907C38">
      <w:pPr>
        <w:jc w:val="both"/>
      </w:pPr>
    </w:p>
    <w:p w:rsidR="008D0064" w:rsidRPr="00DA40DF" w:rsidRDefault="001C2FF6" w:rsidP="00907C38">
      <w:pPr>
        <w:jc w:val="both"/>
      </w:pPr>
      <w:r w:rsidRPr="00DA40DF">
        <w:rPr>
          <w:b/>
        </w:rPr>
        <w:t>Jautājums:</w:t>
      </w:r>
      <w:r w:rsidR="009D7296" w:rsidRPr="00DA40DF">
        <w:t xml:space="preserve"> Projekta iesniedzējs ir lielas uzņēmumu grupas meitas uzņēmums, kas pašreiz būvē jaunas ražošanas telpas Latvijā un projektu konkursa ietvaros plāno iegādāties unikālas ražošanas iekārtas, taču jaunā ražotne tiek veidota jauna un nesen dibināta uzņēmuma ietvaros, līdz ar to algas pašreiz netiek maksātas. Uzņēmuma grupā ietilpst arī cits Latvijā strādājošs uzņēmums, kas 2015.gadā nodokļos nomaksājis vairāk kā 1.8 miljonus EUR, taču saskaņā ar minēto kritēriju, tad saistīto uzņēmumu nodokļu nomaksa netiek ņemta vērā, lai gan citos kritērijos (piem., pašu kapitāls apmērs) tiek ņemti vērā arī saistītie uzņēmumi.</w:t>
      </w:r>
    </w:p>
    <w:p w:rsidR="009D7296" w:rsidRPr="00DA40DF" w:rsidRDefault="009D7296" w:rsidP="00907C38">
      <w:pPr>
        <w:jc w:val="both"/>
      </w:pPr>
    </w:p>
    <w:p w:rsidR="009D7296" w:rsidRPr="00DA40DF" w:rsidRDefault="009D7296" w:rsidP="00907C38">
      <w:pPr>
        <w:jc w:val="both"/>
        <w:rPr>
          <w:b/>
          <w:i/>
        </w:rPr>
      </w:pPr>
      <w:r w:rsidRPr="00DA40DF">
        <w:rPr>
          <w:b/>
          <w:i/>
        </w:rPr>
        <w:t>Atbilde:</w:t>
      </w:r>
      <w:r w:rsidRPr="00DA40DF">
        <w:rPr>
          <w:i/>
        </w:rPr>
        <w:t xml:space="preserve">  Kvalitātes kritērijā Nr.1 tiek</w:t>
      </w:r>
      <w:r w:rsidR="004A6525" w:rsidRPr="00DA40DF">
        <w:rPr>
          <w:i/>
        </w:rPr>
        <w:t xml:space="preserve"> ņemta vērā </w:t>
      </w:r>
      <w:r w:rsidR="004A6525" w:rsidRPr="00DA40DF">
        <w:rPr>
          <w:b/>
          <w:i/>
          <w:u w:val="single"/>
        </w:rPr>
        <w:t>projekta iesniedzēja</w:t>
      </w:r>
      <w:r w:rsidRPr="00DA40DF">
        <w:rPr>
          <w:i/>
        </w:rPr>
        <w:t xml:space="preserve"> </w:t>
      </w:r>
      <w:r w:rsidR="004A6525" w:rsidRPr="00DA40DF">
        <w:rPr>
          <w:i/>
        </w:rPr>
        <w:t>vidējie darba ņēmēju ienākumi līdz projekta iesniegšanai. Šajā kritērijā saistīto uzņēmumu dati netiek izmantoti.</w:t>
      </w:r>
    </w:p>
    <w:p w:rsidR="001C2FF6" w:rsidRPr="004A6525" w:rsidRDefault="001C2FF6" w:rsidP="00907C38">
      <w:pPr>
        <w:jc w:val="both"/>
        <w:rPr>
          <w:b/>
          <w:color w:val="FF0000"/>
        </w:rPr>
      </w:pPr>
    </w:p>
    <w:p w:rsidR="001C2FF6" w:rsidRPr="004A6525" w:rsidRDefault="001C2FF6" w:rsidP="00907C38">
      <w:pPr>
        <w:jc w:val="both"/>
        <w:rPr>
          <w:color w:val="FF0000"/>
        </w:rPr>
      </w:pPr>
    </w:p>
    <w:p w:rsidR="001C2FF6" w:rsidRPr="004A6525" w:rsidRDefault="001C2FF6" w:rsidP="00907C38">
      <w:pPr>
        <w:jc w:val="both"/>
        <w:rPr>
          <w:color w:val="FF0000"/>
        </w:rPr>
      </w:pPr>
    </w:p>
    <w:p w:rsidR="00412BC3" w:rsidRDefault="00412BC3" w:rsidP="00412BC3">
      <w:pPr>
        <w:jc w:val="center"/>
        <w:rPr>
          <w:rFonts w:ascii="Arial" w:hAnsi="Arial" w:cs="Arial"/>
          <w:sz w:val="18"/>
          <w:szCs w:val="18"/>
        </w:rPr>
      </w:pPr>
      <w:r w:rsidRPr="00AC1E14">
        <w:rPr>
          <w:rFonts w:asciiTheme="minorHAnsi" w:hAnsiTheme="minorHAnsi"/>
          <w:b/>
          <w:u w:val="single"/>
        </w:rPr>
        <w:t>Projektu</w:t>
      </w:r>
      <w:r w:rsidRPr="00C04EC1">
        <w:rPr>
          <w:b/>
          <w:u w:val="single"/>
        </w:rPr>
        <w:t xml:space="preserve"> īstenošanas (izmaksu </w:t>
      </w:r>
      <w:proofErr w:type="spellStart"/>
      <w:r w:rsidRPr="00C04EC1">
        <w:rPr>
          <w:b/>
          <w:u w:val="single"/>
        </w:rPr>
        <w:t>attiecināmības</w:t>
      </w:r>
      <w:proofErr w:type="spellEnd"/>
      <w:r w:rsidRPr="00C04EC1">
        <w:rPr>
          <w:b/>
          <w:u w:val="single"/>
        </w:rPr>
        <w:t>) jautājumi</w:t>
      </w:r>
    </w:p>
    <w:p w:rsidR="00412BC3" w:rsidRDefault="00412BC3" w:rsidP="00412BC3">
      <w:pPr>
        <w:rPr>
          <w:rFonts w:ascii="Arial" w:hAnsi="Arial" w:cs="Arial"/>
          <w:sz w:val="18"/>
          <w:szCs w:val="18"/>
        </w:rPr>
      </w:pPr>
    </w:p>
    <w:p w:rsidR="00412BC3" w:rsidRPr="008F4932" w:rsidRDefault="00412BC3" w:rsidP="00412BC3">
      <w:pPr>
        <w:pStyle w:val="PlainText"/>
        <w:jc w:val="both"/>
        <w:rPr>
          <w:rFonts w:asciiTheme="minorHAnsi" w:hAnsiTheme="minorHAnsi"/>
          <w:color w:val="FF0000"/>
          <w:szCs w:val="22"/>
        </w:rPr>
      </w:pPr>
    </w:p>
    <w:p w:rsidR="00412BC3" w:rsidRDefault="00412BC3" w:rsidP="00412BC3"/>
    <w:p w:rsidR="00191C29" w:rsidRPr="00DA40DF" w:rsidRDefault="008F0950" w:rsidP="00191C29">
      <w:r w:rsidRPr="00DA40DF">
        <w:rPr>
          <w:b/>
        </w:rPr>
        <w:t xml:space="preserve">Jautājums: </w:t>
      </w:r>
      <w:r w:rsidR="00191C29" w:rsidRPr="00DA40DF">
        <w:t>Jautājums saistībā ar programmu “Jaunu produktu ieviešana ražošanā” - vai būtu iespēja no Jūsu iestādes saņemt rakstisku apliecinājumu par to, ka šajā programmā attiecināmās iekārtas projekta iesniedzējs drīkst iegādāties no saistītā uzņēmuma, kas ir šo iekārtu ražotājs?</w:t>
      </w:r>
    </w:p>
    <w:p w:rsidR="008F0950" w:rsidRPr="00DA40DF" w:rsidRDefault="008F0950" w:rsidP="00896160">
      <w:pPr>
        <w:rPr>
          <w:b/>
        </w:rPr>
      </w:pPr>
    </w:p>
    <w:p w:rsidR="008F0950" w:rsidRPr="00DA40DF" w:rsidRDefault="008F0950" w:rsidP="00896160"/>
    <w:p w:rsidR="007A697D" w:rsidRPr="00DA40DF" w:rsidRDefault="007A697D" w:rsidP="001C2FF6">
      <w:pPr>
        <w:jc w:val="both"/>
        <w:rPr>
          <w:i/>
        </w:rPr>
      </w:pPr>
      <w:r w:rsidRPr="00DA40DF">
        <w:rPr>
          <w:b/>
          <w:i/>
        </w:rPr>
        <w:t>Atbilde:</w:t>
      </w:r>
      <w:r w:rsidRPr="00DA40DF">
        <w:rPr>
          <w:i/>
        </w:rPr>
        <w:t xml:space="preserve"> </w:t>
      </w:r>
      <w:r w:rsidR="005432F0" w:rsidRPr="00DA40DF">
        <w:rPr>
          <w:i/>
        </w:rPr>
        <w:t>1.2.1.4.pasākuma ietvaros iekārtas var iegādāties no saistītā uzņēmuma tiktāl cik tas ir atbilstoši tirgus nosacījumiem</w:t>
      </w:r>
      <w:r w:rsidR="002D3EAA" w:rsidRPr="00DA40DF">
        <w:rPr>
          <w:i/>
        </w:rPr>
        <w:t>,</w:t>
      </w:r>
      <w:r w:rsidR="005432F0" w:rsidRPr="00DA40DF">
        <w:rPr>
          <w:i/>
        </w:rPr>
        <w:t xml:space="preserve"> ievērojot iepirkuma procedūras nosacījumus</w:t>
      </w:r>
      <w:r w:rsidR="002D3EAA" w:rsidRPr="00DA40DF">
        <w:rPr>
          <w:i/>
        </w:rPr>
        <w:t>, t.sk., interešu konfliktu</w:t>
      </w:r>
      <w:r w:rsidR="005432F0" w:rsidRPr="00DA40DF">
        <w:rPr>
          <w:i/>
        </w:rPr>
        <w:t xml:space="preserve"> saskaņā ar normatīvajiem aktiem.</w:t>
      </w:r>
    </w:p>
    <w:p w:rsidR="001C2FF6" w:rsidRPr="00DA40DF" w:rsidRDefault="001C2FF6" w:rsidP="001C2FF6">
      <w:pPr>
        <w:jc w:val="both"/>
        <w:rPr>
          <w:highlight w:val="yellow"/>
        </w:rPr>
      </w:pPr>
    </w:p>
    <w:p w:rsidR="00E05F54" w:rsidRPr="00DA40DF" w:rsidRDefault="00E05F54" w:rsidP="00E05F54">
      <w:pPr>
        <w:jc w:val="both"/>
        <w:rPr>
          <w:b/>
        </w:rPr>
      </w:pPr>
      <w:r w:rsidRPr="00DA40DF">
        <w:rPr>
          <w:b/>
        </w:rPr>
        <w:t xml:space="preserve">Jautājums: </w:t>
      </w:r>
      <w:r w:rsidR="00191C29" w:rsidRPr="00DA40DF">
        <w:t xml:space="preserve">Vai šajā programmā ir iespējams saņemt avansu, atverot kontu Valsts kasē un nesniedzot </w:t>
      </w:r>
      <w:proofErr w:type="spellStart"/>
      <w:r w:rsidR="00191C29" w:rsidRPr="00DA40DF">
        <w:t>komerckredītiestādes</w:t>
      </w:r>
      <w:proofErr w:type="spellEnd"/>
      <w:r w:rsidR="00191C29" w:rsidRPr="00DA40DF">
        <w:t xml:space="preserve"> garantiju, pēc analoģijas kā tas ir paredzēts </w:t>
      </w:r>
      <w:hyperlink r:id="rId5" w:tgtFrame="_blank" w:history="1">
        <w:r w:rsidR="00191C29" w:rsidRPr="00DA40DF">
          <w:rPr>
            <w:rStyle w:val="Strong"/>
            <w:u w:val="single"/>
          </w:rPr>
          <w:t>3.1.1.5. pasākums “Atbalsts ieguldījumiem ražošanas telpu un infrastruktūras izveidei vai rekonstrukcijai”</w:t>
        </w:r>
      </w:hyperlink>
    </w:p>
    <w:p w:rsidR="00412BC3" w:rsidRPr="00DA40DF" w:rsidRDefault="00412BC3" w:rsidP="00E05F54">
      <w:pPr>
        <w:jc w:val="both"/>
      </w:pPr>
    </w:p>
    <w:p w:rsidR="00896160" w:rsidRPr="00DA40DF" w:rsidRDefault="00896160" w:rsidP="00E05F54">
      <w:pPr>
        <w:jc w:val="both"/>
        <w:rPr>
          <w:i/>
        </w:rPr>
      </w:pPr>
      <w:r w:rsidRPr="00DA40DF">
        <w:rPr>
          <w:b/>
          <w:i/>
        </w:rPr>
        <w:t>Atbilde:</w:t>
      </w:r>
      <w:r w:rsidRPr="00DA40DF">
        <w:rPr>
          <w:i/>
        </w:rPr>
        <w:t xml:space="preserve"> </w:t>
      </w:r>
      <w:r w:rsidR="005432F0" w:rsidRPr="00DA40DF">
        <w:rPr>
          <w:i/>
        </w:rPr>
        <w:t>Nē. Saskaņā ar Ministru Kabineta noteikumiem Nr.293 61.punktu, lai saņemtu avansa maksājumu, finansējuma saņēmējam ir jāiesniedz CFLA ES reģistrētas kredītiestādes pirmā pieprasījuma garantiju par avansa summu. Konta atvēršanu Valsts Kasē vai darījuma konta izmantošanu avansa saņemšanai 1.2.1.4.pasākuma neparedz.</w:t>
      </w:r>
    </w:p>
    <w:p w:rsidR="002D3EAA" w:rsidRPr="00DA40DF" w:rsidRDefault="002D3EAA" w:rsidP="00E05F54">
      <w:pPr>
        <w:jc w:val="both"/>
      </w:pPr>
    </w:p>
    <w:p w:rsidR="002D3EAA" w:rsidRPr="00DA40DF" w:rsidRDefault="002D3EAA" w:rsidP="00E05F54">
      <w:pPr>
        <w:jc w:val="both"/>
      </w:pPr>
    </w:p>
    <w:p w:rsidR="00DA40DF" w:rsidRDefault="002D3EAA" w:rsidP="00E05F54">
      <w:pPr>
        <w:jc w:val="both"/>
      </w:pPr>
      <w:r w:rsidRPr="00DA40DF">
        <w:rPr>
          <w:b/>
        </w:rPr>
        <w:t>Jautājums:</w:t>
      </w:r>
      <w:r w:rsidRPr="00DA40DF">
        <w:t xml:space="preserve"> Ļoti bieži iekārtas tiek pirktas nevis uz kredīta, bet ar finanšu līzinga izmantošanu. Vai šī pasākuma ietvaros tiek atbalstīta iekārtu iegāde, ja tiks izmantots finanšu līzings? Tas nozīmē, ka daļu no iekārtas cenas maksās no sava konta līzinga devējs, un atlikumu - pieteicējs, bet iekārta būs pieteicēja īpašumā atšķirībā no operatīvā līzinga izmantošanas.</w:t>
      </w:r>
    </w:p>
    <w:p w:rsidR="00DA40DF" w:rsidRDefault="002D3EAA" w:rsidP="00E05F54">
      <w:pPr>
        <w:jc w:val="both"/>
      </w:pPr>
      <w:r w:rsidRPr="00DA40DF">
        <w:br/>
        <w:t>Un ja tiek atbalstīta, tad kādi nosacījumi tiks izvirzīti?</w:t>
      </w:r>
    </w:p>
    <w:p w:rsidR="002D3EAA" w:rsidRPr="00DA40DF" w:rsidRDefault="002D3EAA" w:rsidP="00E05F54">
      <w:pPr>
        <w:jc w:val="both"/>
      </w:pPr>
    </w:p>
    <w:p w:rsidR="00DA40DF" w:rsidRPr="00DA40DF" w:rsidRDefault="002D3EAA" w:rsidP="00DA40DF">
      <w:pPr>
        <w:jc w:val="both"/>
        <w:rPr>
          <w:i/>
          <w:iCs/>
          <w:sz w:val="22"/>
          <w:szCs w:val="22"/>
        </w:rPr>
      </w:pPr>
      <w:r w:rsidRPr="00DA40DF">
        <w:rPr>
          <w:b/>
          <w:i/>
        </w:rPr>
        <w:t xml:space="preserve">Atbilde: </w:t>
      </w:r>
      <w:r w:rsidRPr="00DA40DF">
        <w:rPr>
          <w:i/>
        </w:rPr>
        <w:t>Jā, finanšu līzings ir pieļaujams, ievērojot Ministru kabineta noteikumu Nr.293 un citu normatīvo aktu nosacīju</w:t>
      </w:r>
      <w:r w:rsidR="00DA40DF" w:rsidRPr="00DA40DF">
        <w:rPr>
          <w:i/>
        </w:rPr>
        <w:t>mus attiecībā uz iekārtu iegādi</w:t>
      </w:r>
      <w:r w:rsidR="00DA40DF" w:rsidRPr="00DA40DF">
        <w:rPr>
          <w:i/>
          <w:iCs/>
        </w:rPr>
        <w:t xml:space="preserve">, papildus iesniedzot līgumu ar ES reģistrētu kredītiestādi par finanšu līzinga piešķiršanu un izmantošanu. </w:t>
      </w:r>
    </w:p>
    <w:p w:rsidR="002D3EAA" w:rsidRPr="00DA40DF" w:rsidRDefault="002D3EAA" w:rsidP="00E05F54">
      <w:pPr>
        <w:jc w:val="both"/>
      </w:pPr>
      <w:r w:rsidRPr="00DA40DF">
        <w:t xml:space="preserve"> </w:t>
      </w:r>
    </w:p>
    <w:sectPr w:rsidR="002D3EAA" w:rsidRPr="00DA40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mic Sans MS">
    <w:panose1 w:val="030F0702030302020204"/>
    <w:charset w:val="BA"/>
    <w:family w:val="script"/>
    <w:pitch w:val="variable"/>
    <w:sig w:usb0="00000287" w:usb1="40000013"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5274C"/>
    <w:rsid w:val="000E22A1"/>
    <w:rsid w:val="00191C29"/>
    <w:rsid w:val="001C2FF6"/>
    <w:rsid w:val="002B5282"/>
    <w:rsid w:val="002D3EAA"/>
    <w:rsid w:val="00412BC3"/>
    <w:rsid w:val="004A6525"/>
    <w:rsid w:val="005432F0"/>
    <w:rsid w:val="00770F9D"/>
    <w:rsid w:val="007A697D"/>
    <w:rsid w:val="007C16BE"/>
    <w:rsid w:val="0081379B"/>
    <w:rsid w:val="00896160"/>
    <w:rsid w:val="008D0064"/>
    <w:rsid w:val="008D5AA9"/>
    <w:rsid w:val="008F0950"/>
    <w:rsid w:val="00900FBA"/>
    <w:rsid w:val="00907C38"/>
    <w:rsid w:val="0092471D"/>
    <w:rsid w:val="00927E7A"/>
    <w:rsid w:val="0097017F"/>
    <w:rsid w:val="009D7296"/>
    <w:rsid w:val="009F0A63"/>
    <w:rsid w:val="00BB350A"/>
    <w:rsid w:val="00BE1377"/>
    <w:rsid w:val="00C651F0"/>
    <w:rsid w:val="00DA40DF"/>
    <w:rsid w:val="00E05F54"/>
    <w:rsid w:val="00E76FD4"/>
    <w:rsid w:val="00E812E0"/>
    <w:rsid w:val="00ED34A2"/>
    <w:rsid w:val="00F314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fla.gov.lv/lv/es-fondi-2014-2020/izsludinatas-atlases/3-1-1-5-atbalsts-ieguldijumiem-razosanas-telpu-un-infrastrukturas-izveidei-vai-rekonstrukcij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D64064D8</Template>
  <TotalTime>290</TotalTime>
  <Pages>3</Pages>
  <Words>4435</Words>
  <Characters>2529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8</cp:revision>
  <dcterms:created xsi:type="dcterms:W3CDTF">2016-07-12T06:33:00Z</dcterms:created>
  <dcterms:modified xsi:type="dcterms:W3CDTF">2016-07-15T06:26:00Z</dcterms:modified>
</cp:coreProperties>
</file>