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E4" w:rsidRDefault="003751E4" w:rsidP="003751E4">
      <w:pPr>
        <w:rPr>
          <w:rFonts w:ascii="Times New Roman" w:hAnsi="Times New Roman"/>
          <w:b/>
          <w:sz w:val="24"/>
          <w:szCs w:val="24"/>
          <w:u w:val="single"/>
        </w:rPr>
      </w:pPr>
      <w:r w:rsidRPr="00C04EC1">
        <w:rPr>
          <w:rFonts w:ascii="Times New Roman" w:hAnsi="Times New Roman"/>
          <w:b/>
          <w:sz w:val="24"/>
          <w:szCs w:val="24"/>
          <w:u w:val="single"/>
        </w:rPr>
        <w:t>Projekta iesnieguma sagatavošanas, iesniegšanas un vērtēšanas jautājumi</w:t>
      </w:r>
    </w:p>
    <w:p w:rsidR="00BB6169" w:rsidRDefault="00BB6169" w:rsidP="00BB6169">
      <w:pPr>
        <w:rPr>
          <w:rFonts w:ascii="Times New Roman" w:hAnsi="Times New Roman"/>
          <w:color w:val="1F497D"/>
          <w:sz w:val="24"/>
          <w:szCs w:val="24"/>
        </w:rPr>
      </w:pPr>
    </w:p>
    <w:p w:rsidR="003751E4" w:rsidRPr="00C65EC6" w:rsidRDefault="003751E4" w:rsidP="003751E4">
      <w:pPr>
        <w:pStyle w:val="Heading1"/>
        <w:numPr>
          <w:ilvl w:val="0"/>
          <w:numId w:val="4"/>
        </w:numPr>
        <w:jc w:val="both"/>
        <w:rPr>
          <w:rFonts w:asciiTheme="minorHAnsi" w:eastAsia="Times New Roman" w:hAnsiTheme="minorHAnsi"/>
          <w:b w:val="0"/>
          <w:bCs w:val="0"/>
          <w:sz w:val="22"/>
          <w:szCs w:val="22"/>
        </w:rPr>
      </w:pPr>
      <w:r w:rsidRPr="00C65EC6">
        <w:rPr>
          <w:rFonts w:asciiTheme="minorHAnsi" w:eastAsia="Times New Roman" w:hAnsiTheme="minorHAnsi"/>
          <w:b w:val="0"/>
          <w:bCs w:val="0"/>
          <w:sz w:val="22"/>
          <w:szCs w:val="22"/>
        </w:rPr>
        <w:t>Vai 1.2.2.1. pasākuma “Atbalsts nodarbināto apmācībām” ietvaros HP VI tiek novērtēts kā „netieša pozitīva ietekme uz HP VI”?</w:t>
      </w:r>
    </w:p>
    <w:p w:rsidR="00C72BD8" w:rsidRPr="00C65EC6" w:rsidRDefault="00C65EC6" w:rsidP="00C65EC6">
      <w:pPr>
        <w:pStyle w:val="Heading1"/>
        <w:ind w:left="360"/>
        <w:jc w:val="both"/>
        <w:rPr>
          <w:rFonts w:asciiTheme="minorHAnsi" w:eastAsia="Times New Roman" w:hAnsiTheme="minorHAnsi"/>
          <w:b w:val="0"/>
          <w:bCs w:val="0"/>
          <w:sz w:val="22"/>
          <w:szCs w:val="22"/>
        </w:rPr>
      </w:pPr>
      <w:r w:rsidRPr="00AD2CC0">
        <w:rPr>
          <w:rFonts w:asciiTheme="minorHAnsi" w:eastAsia="Times New Roman" w:hAnsiTheme="minorHAnsi"/>
          <w:bCs w:val="0"/>
          <w:sz w:val="22"/>
          <w:szCs w:val="22"/>
        </w:rPr>
        <w:t>Atbilde:</w:t>
      </w:r>
      <w:r w:rsidRPr="00C65EC6">
        <w:rPr>
          <w:rFonts w:asciiTheme="minorHAnsi" w:eastAsia="Times New Roman" w:hAnsiTheme="minorHAnsi"/>
          <w:b w:val="0"/>
          <w:bCs w:val="0"/>
          <w:sz w:val="22"/>
          <w:szCs w:val="22"/>
        </w:rPr>
        <w:t xml:space="preserve"> </w:t>
      </w:r>
      <w:r w:rsidR="00901396" w:rsidRPr="00C65EC6">
        <w:rPr>
          <w:rFonts w:asciiTheme="minorHAnsi" w:eastAsia="Times New Roman" w:hAnsiTheme="minorHAnsi"/>
          <w:b w:val="0"/>
          <w:bCs w:val="0"/>
          <w:sz w:val="22"/>
          <w:szCs w:val="22"/>
        </w:rPr>
        <w:t>Jā, 1.2.2.1.pasākumam HP Vienlīdzīgas iespējas ir netieša pozitīva ietekme.</w:t>
      </w:r>
    </w:p>
    <w:p w:rsidR="003751E4" w:rsidRPr="00C65EC6" w:rsidRDefault="003751E4" w:rsidP="003751E4">
      <w:pPr>
        <w:pStyle w:val="Heading1"/>
        <w:numPr>
          <w:ilvl w:val="0"/>
          <w:numId w:val="4"/>
        </w:numPr>
        <w:jc w:val="both"/>
        <w:rPr>
          <w:rFonts w:asciiTheme="minorHAnsi" w:eastAsia="Times New Roman" w:hAnsiTheme="minorHAnsi"/>
          <w:b w:val="0"/>
          <w:bCs w:val="0"/>
          <w:sz w:val="22"/>
          <w:szCs w:val="22"/>
        </w:rPr>
      </w:pPr>
      <w:r w:rsidRPr="00C65EC6">
        <w:rPr>
          <w:rFonts w:asciiTheme="minorHAnsi" w:eastAsia="Times New Roman" w:hAnsiTheme="minorHAnsi"/>
          <w:b w:val="0"/>
          <w:bCs w:val="0"/>
          <w:sz w:val="22"/>
          <w:szCs w:val="22"/>
        </w:rPr>
        <w:t xml:space="preserve">Vai 1.2.2.1. pasākuma “Atbalsts nodarbināto apmācībām” ietvaros tiek piemēroti </w:t>
      </w:r>
      <w:r w:rsidRPr="00C65EC6">
        <w:rPr>
          <w:rFonts w:asciiTheme="minorHAnsi" w:eastAsia="Times New Roman" w:hAnsiTheme="minorHAnsi"/>
          <w:sz w:val="22"/>
          <w:szCs w:val="22"/>
          <w:u w:val="single"/>
        </w:rPr>
        <w:t>ESF</w:t>
      </w:r>
      <w:r w:rsidRPr="00C65EC6">
        <w:rPr>
          <w:rFonts w:asciiTheme="minorHAnsi" w:eastAsia="Times New Roman" w:hAnsiTheme="minorHAnsi"/>
          <w:b w:val="0"/>
          <w:bCs w:val="0"/>
          <w:sz w:val="22"/>
          <w:szCs w:val="22"/>
        </w:rPr>
        <w:t xml:space="preserve"> HP VI kvalitātes kritērija raksturojumi?</w:t>
      </w:r>
    </w:p>
    <w:p w:rsidR="00901396" w:rsidRPr="00C65EC6" w:rsidRDefault="00C65EC6" w:rsidP="00C65EC6">
      <w:pPr>
        <w:pStyle w:val="Heading1"/>
        <w:ind w:left="360"/>
        <w:jc w:val="both"/>
        <w:rPr>
          <w:rFonts w:asciiTheme="minorHAnsi" w:eastAsia="Times New Roman" w:hAnsiTheme="minorHAnsi"/>
          <w:bCs w:val="0"/>
          <w:sz w:val="22"/>
          <w:szCs w:val="22"/>
        </w:rPr>
      </w:pPr>
      <w:r w:rsidRPr="00AD2CC0">
        <w:rPr>
          <w:rFonts w:asciiTheme="minorHAnsi" w:eastAsia="Times New Roman" w:hAnsiTheme="minorHAnsi"/>
          <w:bCs w:val="0"/>
          <w:sz w:val="22"/>
          <w:szCs w:val="22"/>
        </w:rPr>
        <w:t>Atbilde:</w:t>
      </w:r>
      <w:r w:rsidRPr="00C65EC6">
        <w:rPr>
          <w:rFonts w:asciiTheme="minorHAnsi" w:eastAsia="Times New Roman" w:hAnsiTheme="minorHAnsi"/>
          <w:b w:val="0"/>
          <w:bCs w:val="0"/>
          <w:sz w:val="22"/>
          <w:szCs w:val="22"/>
        </w:rPr>
        <w:t xml:space="preserve"> </w:t>
      </w:r>
      <w:r w:rsidR="00901396" w:rsidRPr="00C65EC6">
        <w:rPr>
          <w:rFonts w:asciiTheme="minorHAnsi" w:eastAsia="Times New Roman" w:hAnsiTheme="minorHAnsi"/>
          <w:b w:val="0"/>
          <w:bCs w:val="0"/>
          <w:sz w:val="22"/>
          <w:szCs w:val="22"/>
        </w:rPr>
        <w:t>Projekta iesnieguma vērtēšanā un projekta īstenošanas uzraudzībā 1.2.2.1.pasākuma ietvaros tiks piemērota Labklājības ministrijas mājas lapā publicētā metodikas “Horizontālā principa “Vienlīdzīgas iespējas” īstenošanas uzraudzībai 2014.-2020.gada plānošanas perioda 1.pielikumā “Projektā sasniedzamie HP VI rādītāji ESF, ERAF un KF projektos un HP VI specifiskās darbības” pie 1.2.2.1.pasākuma norādītās HP VI specifiskās darbības rādītāja sasniegšanai.</w:t>
      </w:r>
    </w:p>
    <w:p w:rsidR="003751E4" w:rsidRPr="00C65EC6" w:rsidRDefault="003751E4" w:rsidP="00901396">
      <w:pPr>
        <w:pStyle w:val="Heading1"/>
        <w:numPr>
          <w:ilvl w:val="0"/>
          <w:numId w:val="4"/>
        </w:numPr>
        <w:jc w:val="both"/>
        <w:rPr>
          <w:rFonts w:asciiTheme="minorHAnsi" w:eastAsia="Times New Roman" w:hAnsiTheme="minorHAnsi"/>
          <w:b w:val="0"/>
          <w:bCs w:val="0"/>
          <w:sz w:val="22"/>
          <w:szCs w:val="22"/>
        </w:rPr>
      </w:pPr>
      <w:r w:rsidRPr="00C65EC6">
        <w:rPr>
          <w:rFonts w:asciiTheme="minorHAnsi" w:eastAsia="Times New Roman" w:hAnsiTheme="minorHAnsi"/>
          <w:b w:val="0"/>
          <w:bCs w:val="0"/>
          <w:sz w:val="22"/>
          <w:szCs w:val="22"/>
        </w:rPr>
        <w:t>Vai tiks uzskatīts, ka ir izpildīts kritērijā noteiktais „Projektā paredzētās specifiskās darbības veicina horizontālā principa “Vienlīdzīgas iespējas” (dzimumu līdztiesība, invaliditāte, vecums un etniskā piederība) ievērošanu”, ja projekta vadības procesā ir iesaistīta 1 persona ar invaliditāti (un nodrošināta atbilstoša darba vide, u.c.), bet netiek veikti specifiski pasākumi apmācību procesā? (HP VI vadlīnijas nosaka, ka ietekmi vērtē, ja HP VI principi tiek ievēroti attiecībā uz attiecināmajām izmaksām, t.sk.</w:t>
      </w:r>
      <w:r w:rsidR="00C65EC6">
        <w:rPr>
          <w:rFonts w:asciiTheme="minorHAnsi" w:eastAsia="Times New Roman" w:hAnsiTheme="minorHAnsi"/>
          <w:b w:val="0"/>
          <w:bCs w:val="0"/>
          <w:sz w:val="22"/>
          <w:szCs w:val="22"/>
        </w:rPr>
        <w:t xml:space="preserve"> </w:t>
      </w:r>
      <w:r w:rsidRPr="00C65EC6">
        <w:rPr>
          <w:rFonts w:asciiTheme="minorHAnsi" w:eastAsia="Times New Roman" w:hAnsiTheme="minorHAnsi"/>
          <w:b w:val="0"/>
          <w:bCs w:val="0"/>
          <w:sz w:val="22"/>
          <w:szCs w:val="22"/>
        </w:rPr>
        <w:t>projekta vadība)</w:t>
      </w:r>
    </w:p>
    <w:p w:rsidR="00901396" w:rsidRPr="00C65EC6" w:rsidRDefault="00C65EC6" w:rsidP="00C65EC6">
      <w:pPr>
        <w:pStyle w:val="Heading1"/>
        <w:ind w:left="360"/>
        <w:jc w:val="both"/>
        <w:rPr>
          <w:rFonts w:asciiTheme="minorHAnsi" w:eastAsia="Times New Roman" w:hAnsiTheme="minorHAnsi"/>
          <w:b w:val="0"/>
          <w:bCs w:val="0"/>
          <w:sz w:val="22"/>
          <w:szCs w:val="22"/>
        </w:rPr>
      </w:pPr>
      <w:r w:rsidRPr="00AD2CC0">
        <w:rPr>
          <w:rFonts w:asciiTheme="minorHAnsi" w:eastAsia="Times New Roman" w:hAnsiTheme="minorHAnsi"/>
          <w:bCs w:val="0"/>
          <w:sz w:val="22"/>
          <w:szCs w:val="22"/>
        </w:rPr>
        <w:t>Atbilde:</w:t>
      </w:r>
      <w:r w:rsidRPr="00C65EC6">
        <w:rPr>
          <w:rFonts w:asciiTheme="minorHAnsi" w:eastAsia="Times New Roman" w:hAnsiTheme="minorHAnsi"/>
          <w:b w:val="0"/>
          <w:bCs w:val="0"/>
          <w:sz w:val="22"/>
          <w:szCs w:val="22"/>
        </w:rPr>
        <w:t xml:space="preserve"> </w:t>
      </w:r>
      <w:r w:rsidR="00901396" w:rsidRPr="00C65EC6">
        <w:rPr>
          <w:rFonts w:asciiTheme="minorHAnsi" w:eastAsia="Times New Roman" w:hAnsiTheme="minorHAnsi"/>
          <w:b w:val="0"/>
          <w:bCs w:val="0"/>
          <w:sz w:val="22"/>
          <w:szCs w:val="22"/>
        </w:rPr>
        <w:t>Jā. Saskaņā ar metodikas “Horizontālā principa “Vienlīdzīgas iespējas” īstenošanas uzraudzībai 2014.-2020.gad</w:t>
      </w:r>
      <w:r w:rsidR="001107AD" w:rsidRPr="00C65EC6">
        <w:rPr>
          <w:rFonts w:asciiTheme="minorHAnsi" w:eastAsia="Times New Roman" w:hAnsiTheme="minorHAnsi"/>
          <w:b w:val="0"/>
          <w:bCs w:val="0"/>
          <w:sz w:val="22"/>
          <w:szCs w:val="22"/>
        </w:rPr>
        <w:t>a plānošanas perioda 1.pielikumu</w:t>
      </w:r>
      <w:r w:rsidR="00901396" w:rsidRPr="00C65EC6">
        <w:rPr>
          <w:rFonts w:asciiTheme="minorHAnsi" w:eastAsia="Times New Roman" w:hAnsiTheme="minorHAnsi"/>
          <w:b w:val="0"/>
          <w:bCs w:val="0"/>
          <w:sz w:val="22"/>
          <w:szCs w:val="22"/>
        </w:rPr>
        <w:t xml:space="preserve"> “Projektā sasniedzamie HP VI rādītāji ESF, ERAF un KF projektos un HP VI specifiskās darbības” 1.2.2.1.pasākuma</w:t>
      </w:r>
      <w:r w:rsidR="001107AD" w:rsidRPr="00C65EC6">
        <w:rPr>
          <w:rFonts w:asciiTheme="minorHAnsi" w:eastAsia="Times New Roman" w:hAnsiTheme="minorHAnsi"/>
          <w:b w:val="0"/>
          <w:bCs w:val="0"/>
          <w:sz w:val="22"/>
          <w:szCs w:val="22"/>
        </w:rPr>
        <w:t xml:space="preserve">m specifiskās darbības </w:t>
      </w:r>
      <w:r w:rsidR="00901396" w:rsidRPr="00C65EC6">
        <w:rPr>
          <w:rFonts w:asciiTheme="minorHAnsi" w:eastAsia="Times New Roman" w:hAnsiTheme="minorHAnsi"/>
          <w:b w:val="0"/>
          <w:bCs w:val="0"/>
          <w:sz w:val="22"/>
          <w:szCs w:val="22"/>
        </w:rPr>
        <w:t xml:space="preserve"> HP VI rādītāja sasniegšanai</w:t>
      </w:r>
      <w:r w:rsidR="001107AD" w:rsidRPr="00C65EC6">
        <w:rPr>
          <w:rFonts w:asciiTheme="minorHAnsi" w:eastAsia="Times New Roman" w:hAnsiTheme="minorHAnsi"/>
          <w:b w:val="0"/>
          <w:bCs w:val="0"/>
          <w:sz w:val="22"/>
          <w:szCs w:val="22"/>
        </w:rPr>
        <w:t xml:space="preserve"> ir p</w:t>
      </w:r>
      <w:r w:rsidR="00901396" w:rsidRPr="00C65EC6">
        <w:rPr>
          <w:rFonts w:asciiTheme="minorHAnsi" w:eastAsia="Times New Roman" w:hAnsiTheme="minorHAnsi"/>
          <w:b w:val="0"/>
          <w:bCs w:val="0"/>
          <w:sz w:val="22"/>
          <w:szCs w:val="22"/>
        </w:rPr>
        <w:t>rojekta vadības, apmācības un informēšanas pasākumi (ja attiecināms) u.c. projekta darbības tiks īstenotas pielāgotās telpās personām ar invaliditāti, nodrošinot nepieciešamo aprīkojumu iekļūšanai telpās un pielāgotas informācijas tehnoloģijas, ja nepieciešams.</w:t>
      </w:r>
    </w:p>
    <w:p w:rsidR="001107AD" w:rsidRPr="00C65EC6" w:rsidRDefault="001107AD" w:rsidP="00C54D9D">
      <w:pPr>
        <w:pStyle w:val="ListParagraph"/>
        <w:numPr>
          <w:ilvl w:val="0"/>
          <w:numId w:val="4"/>
        </w:numPr>
        <w:jc w:val="both"/>
        <w:rPr>
          <w:rFonts w:asciiTheme="minorHAnsi" w:hAnsiTheme="minorHAnsi"/>
        </w:rPr>
      </w:pPr>
      <w:r w:rsidRPr="00C65EC6">
        <w:rPr>
          <w:rFonts w:asciiTheme="minorHAnsi" w:hAnsiTheme="minorHAnsi"/>
        </w:rPr>
        <w:t xml:space="preserve">Vai projekta iesnieguma veidlapas 3.4.sadaļā: </w:t>
      </w:r>
    </w:p>
    <w:p w:rsidR="001107AD" w:rsidRPr="00C65EC6" w:rsidRDefault="001107AD" w:rsidP="00C54D9D">
      <w:pPr>
        <w:ind w:left="340"/>
        <w:jc w:val="both"/>
        <w:rPr>
          <w:rFonts w:asciiTheme="minorHAnsi" w:hAnsiTheme="minorHAnsi"/>
        </w:rPr>
      </w:pPr>
      <w:r w:rsidRPr="00C65EC6">
        <w:rPr>
          <w:rFonts w:asciiTheme="minorHAnsi" w:hAnsiTheme="minorHAnsi"/>
        </w:rPr>
        <w:t xml:space="preserve">„3.4. Projektā plānotie horizontālā principa “Ilgtspējīga attīstība” ieviešanai sasniedzamie rādītāji” rādītāja nosaukumam „Apmācību kurss </w:t>
      </w:r>
      <w:proofErr w:type="spellStart"/>
      <w:r w:rsidRPr="00C65EC6">
        <w:rPr>
          <w:rFonts w:asciiTheme="minorHAnsi" w:hAnsiTheme="minorHAnsi"/>
        </w:rPr>
        <w:t>eko</w:t>
      </w:r>
      <w:proofErr w:type="spellEnd"/>
      <w:r w:rsidRPr="00C65EC6">
        <w:rPr>
          <w:rFonts w:asciiTheme="minorHAnsi" w:hAnsiTheme="minorHAnsi"/>
        </w:rPr>
        <w:t xml:space="preserve">-inovāciju jomā” var norādīt mērvienību „mācību kursu skaits” un tā vērtību „1”, lai tiktu uzskatīts, ka projekta iesniedzējs projekta iesnieguma veidlapā ir sniedzis informāciju, ka tiks  īstenotas apmācības </w:t>
      </w:r>
      <w:proofErr w:type="spellStart"/>
      <w:r w:rsidRPr="00C65EC6">
        <w:rPr>
          <w:rFonts w:asciiTheme="minorHAnsi" w:hAnsiTheme="minorHAnsi"/>
        </w:rPr>
        <w:t>eko</w:t>
      </w:r>
      <w:proofErr w:type="spellEnd"/>
      <w:r w:rsidRPr="00C65EC6">
        <w:rPr>
          <w:rFonts w:asciiTheme="minorHAnsi" w:hAnsiTheme="minorHAnsi"/>
        </w:rPr>
        <w:t>-inovāciju jomā.</w:t>
      </w:r>
    </w:p>
    <w:p w:rsidR="001107AD" w:rsidRPr="00C65EC6" w:rsidRDefault="001107AD" w:rsidP="00C54D9D">
      <w:pPr>
        <w:jc w:val="both"/>
        <w:rPr>
          <w:rFonts w:asciiTheme="minorHAnsi" w:hAnsiTheme="minorHAnsi"/>
        </w:rPr>
      </w:pPr>
    </w:p>
    <w:p w:rsidR="001107AD" w:rsidRDefault="001107AD" w:rsidP="00C54D9D">
      <w:pPr>
        <w:ind w:left="340"/>
        <w:jc w:val="both"/>
        <w:rPr>
          <w:rFonts w:asciiTheme="minorHAnsi" w:hAnsiTheme="minorHAnsi"/>
        </w:rPr>
      </w:pPr>
      <w:r w:rsidRPr="00C54D9D">
        <w:rPr>
          <w:rFonts w:asciiTheme="minorHAnsi" w:hAnsiTheme="minorHAnsi"/>
          <w:b/>
        </w:rPr>
        <w:t>Atbilde</w:t>
      </w:r>
      <w:r w:rsidRPr="00C65EC6">
        <w:rPr>
          <w:rFonts w:asciiTheme="minorHAnsi" w:hAnsiTheme="minorHAnsi"/>
        </w:rPr>
        <w:t xml:space="preserve">. </w:t>
      </w:r>
      <w:r w:rsidR="00C65EC6" w:rsidRPr="00C65EC6">
        <w:rPr>
          <w:rFonts w:asciiTheme="minorHAnsi" w:hAnsiTheme="minorHAnsi"/>
        </w:rPr>
        <w:t xml:space="preserve">Nē, jo rādītāji ir jāizvēlas no klasifikatora. Šajā gadījumā rādītājs ir “apmācīto komersantu skaits”, tomēr projekta iesnieguma veidlapas kolonnā “piezīmes” var norādīt, ka rādītāja vērtības tiks norādītas pēc faktiski notikušā. </w:t>
      </w:r>
    </w:p>
    <w:p w:rsidR="007F6A3E" w:rsidRDefault="007F6A3E" w:rsidP="00C54D9D">
      <w:pPr>
        <w:ind w:left="340"/>
        <w:jc w:val="both"/>
        <w:rPr>
          <w:rFonts w:asciiTheme="minorHAnsi" w:hAnsiTheme="minorHAnsi"/>
        </w:rPr>
      </w:pPr>
    </w:p>
    <w:p w:rsidR="007F6A3E" w:rsidRDefault="007F6A3E" w:rsidP="00C54D9D">
      <w:pPr>
        <w:pStyle w:val="ListParagraph"/>
        <w:numPr>
          <w:ilvl w:val="0"/>
          <w:numId w:val="4"/>
        </w:numPr>
        <w:jc w:val="both"/>
      </w:pPr>
      <w:r>
        <w:t>Vai projekta īstenošanas laiku varam norādīt 30 mēnešus, ja plānojam no projektu realizēt no parakstīšanas brīža līdz 2018.gada 31.decembrim (kaut gan plānojam uzsākt projektu pēc projekta pieteikuma iesniegšanas)?</w:t>
      </w:r>
    </w:p>
    <w:p w:rsidR="007F6A3E" w:rsidRDefault="007F6A3E" w:rsidP="007F6A3E">
      <w:pPr>
        <w:pStyle w:val="ListParagraph"/>
      </w:pPr>
    </w:p>
    <w:p w:rsidR="007F6A3E" w:rsidRDefault="007F6A3E" w:rsidP="00C54D9D">
      <w:pPr>
        <w:pStyle w:val="ListParagraph"/>
        <w:numPr>
          <w:ilvl w:val="0"/>
          <w:numId w:val="6"/>
        </w:numPr>
        <w:spacing w:after="0" w:line="240" w:lineRule="auto"/>
        <w:contextualSpacing w:val="0"/>
        <w:jc w:val="both"/>
      </w:pPr>
      <w:r>
        <w:lastRenderedPageBreak/>
        <w:t>Kādu mēnešu skaitu varam norādīt Projekta budžeta kopsavilkumā pozīcijā Projekta vadībā, ja plānojam projektu uzsākt pēc Projekta pieteikuma iesniegšanas, t.i., no aprīļa:</w:t>
      </w:r>
    </w:p>
    <w:p w:rsidR="007F6A3E" w:rsidRDefault="007F6A3E" w:rsidP="00C54D9D">
      <w:pPr>
        <w:pStyle w:val="ListParagraph"/>
        <w:jc w:val="both"/>
        <w:rPr>
          <w:b/>
          <w:bCs/>
        </w:rPr>
      </w:pPr>
      <w:r>
        <w:t xml:space="preserve">Vai varam rēķināt: </w:t>
      </w:r>
      <w:r>
        <w:rPr>
          <w:b/>
          <w:bCs/>
        </w:rPr>
        <w:t>33 mēneši</w:t>
      </w:r>
      <w:r>
        <w:t xml:space="preserve"> *</w:t>
      </w:r>
      <w:r>
        <w:rPr>
          <w:b/>
          <w:bCs/>
        </w:rPr>
        <w:t xml:space="preserve">3000EUR= 99000 EUR </w:t>
      </w:r>
      <w:r>
        <w:t>vai jārēķina</w:t>
      </w:r>
      <w:r>
        <w:rPr>
          <w:b/>
          <w:bCs/>
        </w:rPr>
        <w:t>: 30 mēneši</w:t>
      </w:r>
      <w:r>
        <w:t>*</w:t>
      </w:r>
      <w:r>
        <w:rPr>
          <w:b/>
          <w:bCs/>
        </w:rPr>
        <w:t xml:space="preserve">3000EUR=90000EUR </w:t>
      </w:r>
    </w:p>
    <w:p w:rsidR="007F6A3E" w:rsidRPr="00C54D9D" w:rsidRDefault="007F6A3E" w:rsidP="00C54D9D">
      <w:pPr>
        <w:ind w:left="720"/>
        <w:jc w:val="both"/>
      </w:pPr>
      <w:r w:rsidRPr="00C54D9D">
        <w:rPr>
          <w:b/>
          <w:bCs/>
        </w:rPr>
        <w:t xml:space="preserve">Atbilde: </w:t>
      </w:r>
      <w:r w:rsidRPr="00C54D9D">
        <w:t>Jā, projekta īstenošanas laiku - 30 mēnešus - norādīt būs korekti, jo projekta iesnieguma 2.3.punktā projekta īstenošanas laiks jānorāda pēc līguma par projekta īstenošanas noslēgšanas.</w:t>
      </w:r>
    </w:p>
    <w:p w:rsidR="007F6A3E" w:rsidRPr="00C54D9D" w:rsidRDefault="007F6A3E" w:rsidP="00C54D9D">
      <w:pPr>
        <w:ind w:left="720"/>
        <w:jc w:val="both"/>
      </w:pPr>
      <w:r w:rsidRPr="00C54D9D">
        <w:t xml:space="preserve">Darbības, kas veiktas pirms līguma (saskaņā ar MK noteikumiem, attiecināmas būs izmaksas par darbībām, kas veiktas no projekta iesnieguma iesniegšanas dienas), projekta iesnieguma 1.pielikumā “Projekta īstenošanas laika grafiks” tiek norādītas ar “P”, tāpēc arī 3.pielikumā “Projekta budžeta kopsavilkums” projekta vadības izmaksām laiku var norādīt 33 mēnešus, attiecīgi izmaksas 99 000 </w:t>
      </w:r>
      <w:proofErr w:type="spellStart"/>
      <w:r w:rsidRPr="00C54D9D">
        <w:t>euro</w:t>
      </w:r>
      <w:proofErr w:type="spellEnd"/>
      <w:r w:rsidRPr="00C54D9D">
        <w:t>.</w:t>
      </w:r>
    </w:p>
    <w:p w:rsidR="007F6A3E" w:rsidRPr="00C54D9D" w:rsidRDefault="007F6A3E" w:rsidP="007F6A3E">
      <w:pPr>
        <w:pStyle w:val="ListParagraph"/>
      </w:pPr>
    </w:p>
    <w:p w:rsidR="00BB6169" w:rsidRDefault="00BB6169" w:rsidP="00BB6169">
      <w:pPr>
        <w:rPr>
          <w:rFonts w:ascii="Times New Roman" w:hAnsi="Times New Roman"/>
          <w:color w:val="1F497D"/>
          <w:sz w:val="24"/>
          <w:szCs w:val="24"/>
        </w:rPr>
      </w:pPr>
    </w:p>
    <w:p w:rsidR="003751E4" w:rsidRDefault="003751E4" w:rsidP="003751E4">
      <w:pPr>
        <w:pStyle w:val="ListParagraph"/>
        <w:spacing w:after="0" w:line="240" w:lineRule="auto"/>
        <w:ind w:left="1440"/>
        <w:rPr>
          <w:rFonts w:ascii="Times New Roman" w:hAnsi="Times New Roman"/>
          <w:b/>
          <w:sz w:val="24"/>
          <w:szCs w:val="24"/>
          <w:u w:val="single"/>
        </w:rPr>
      </w:pPr>
    </w:p>
    <w:p w:rsidR="003751E4" w:rsidRPr="00C04EC1" w:rsidRDefault="003751E4" w:rsidP="003751E4">
      <w:pPr>
        <w:pStyle w:val="ListParagraph"/>
        <w:spacing w:after="0" w:line="240" w:lineRule="auto"/>
        <w:ind w:left="1440"/>
        <w:rPr>
          <w:rFonts w:ascii="Times New Roman" w:hAnsi="Times New Roman"/>
          <w:b/>
          <w:sz w:val="24"/>
          <w:szCs w:val="24"/>
          <w:u w:val="single"/>
        </w:rPr>
      </w:pPr>
      <w:r w:rsidRPr="00C04EC1">
        <w:rPr>
          <w:rFonts w:ascii="Times New Roman" w:hAnsi="Times New Roman"/>
          <w:b/>
          <w:sz w:val="24"/>
          <w:szCs w:val="24"/>
          <w:u w:val="single"/>
        </w:rPr>
        <w:t xml:space="preserve">Projektu īstenošanas (izmaksu </w:t>
      </w:r>
      <w:proofErr w:type="spellStart"/>
      <w:r w:rsidRPr="00C04EC1">
        <w:rPr>
          <w:rFonts w:ascii="Times New Roman" w:hAnsi="Times New Roman"/>
          <w:b/>
          <w:sz w:val="24"/>
          <w:szCs w:val="24"/>
          <w:u w:val="single"/>
        </w:rPr>
        <w:t>attiecināmības</w:t>
      </w:r>
      <w:proofErr w:type="spellEnd"/>
      <w:r w:rsidRPr="00C04EC1">
        <w:rPr>
          <w:rFonts w:ascii="Times New Roman" w:hAnsi="Times New Roman"/>
          <w:b/>
          <w:sz w:val="24"/>
          <w:szCs w:val="24"/>
          <w:u w:val="single"/>
        </w:rPr>
        <w:t>) jautājumi</w:t>
      </w:r>
    </w:p>
    <w:p w:rsidR="003751E4" w:rsidRDefault="003751E4" w:rsidP="00BB6169">
      <w:pPr>
        <w:rPr>
          <w:rFonts w:ascii="Times New Roman" w:hAnsi="Times New Roman"/>
          <w:color w:val="1F497D"/>
          <w:sz w:val="24"/>
          <w:szCs w:val="24"/>
        </w:rPr>
      </w:pPr>
    </w:p>
    <w:p w:rsidR="00BB6169" w:rsidRDefault="00BB6169" w:rsidP="00BB6169">
      <w:pPr>
        <w:rPr>
          <w:rFonts w:ascii="Times New Roman" w:hAnsi="Times New Roman"/>
          <w:color w:val="1F497D"/>
          <w:sz w:val="24"/>
          <w:szCs w:val="24"/>
        </w:rPr>
      </w:pPr>
    </w:p>
    <w:p w:rsidR="00B477FE" w:rsidRPr="00FF4906" w:rsidRDefault="00B477FE" w:rsidP="00FF4906">
      <w:pPr>
        <w:pStyle w:val="ListParagraph"/>
        <w:numPr>
          <w:ilvl w:val="0"/>
          <w:numId w:val="5"/>
        </w:numPr>
        <w:spacing w:after="0" w:line="240" w:lineRule="auto"/>
        <w:ind w:left="714" w:hanging="357"/>
        <w:contextualSpacing w:val="0"/>
        <w:jc w:val="both"/>
      </w:pPr>
      <w:r w:rsidRPr="00FF4906">
        <w:t xml:space="preserve">Pakalpojuma līgums. Cik detalizēti jānorāda apmācību izmaksu sadalījums pa pozīcijām? Iepirkuma piedāvājumā tiek norādīta kopējā dalības summa dalībniekam, un no piedāvājuma ir redzams, ka tiek paredzēts mācību materiāls, sertifikācija, pasniedzējs u.t.t. (bez detalizēta atšifrējuma katrai </w:t>
      </w:r>
      <w:proofErr w:type="spellStart"/>
      <w:r w:rsidRPr="00FF4906">
        <w:t>apakšpozīcijai</w:t>
      </w:r>
      <w:proofErr w:type="spellEnd"/>
      <w:r w:rsidRPr="00FF4906">
        <w:t xml:space="preserve">). Kursa noslēgumā, parakstot pieņemšanas-nodošanas, aktu tiek norādīts šādi: </w:t>
      </w:r>
    </w:p>
    <w:p w:rsidR="00B477FE" w:rsidRPr="00FF4906" w:rsidRDefault="00B477FE" w:rsidP="00FF4906">
      <w:pPr>
        <w:pStyle w:val="ListParagraph"/>
        <w:jc w:val="both"/>
      </w:pPr>
      <w:r w:rsidRPr="00FF4906">
        <w:t>Apmācību kursa „ Inženierzinātnes un tehnoloģijas” izmaksu summa atbilstoši Līgumam sastāda EUR 1000.00 (bez PVN), kuru veido pasniedzēja darba atlīdzība par darba stundām (t.sk. VSAOI), mācību materiāli katram dalībniekam un telpu noma.</w:t>
      </w:r>
    </w:p>
    <w:p w:rsidR="00B477FE" w:rsidRPr="00FF4906" w:rsidRDefault="00B477FE" w:rsidP="00FF4906">
      <w:pPr>
        <w:pStyle w:val="ListParagraph"/>
        <w:jc w:val="both"/>
      </w:pPr>
      <w:r w:rsidRPr="00FF4906">
        <w:t>Vai izmaksu atšifrējums ir pietiekošs?</w:t>
      </w:r>
    </w:p>
    <w:p w:rsidR="00574022" w:rsidRPr="00FF4906" w:rsidRDefault="00B477FE" w:rsidP="00FF4906">
      <w:pPr>
        <w:ind w:left="720"/>
        <w:jc w:val="both"/>
      </w:pPr>
      <w:r w:rsidRPr="00FF4906">
        <w:rPr>
          <w:b/>
        </w:rPr>
        <w:t>Atbilde:</w:t>
      </w:r>
      <w:r w:rsidRPr="00FF4906">
        <w:t xml:space="preserve"> Mācību materiālu izmaksas piedāvājumā ir jābūt izdalītām atsevišķi, jo saskaņā ar MK noteikumiem Nr.617 23.2.1.1.apakšpunktu, ja materiālu izmaksu summa pārsniedz 50 EUR uz vienu nodarbināto, tā ir jāsaskaņo ar sadarbības iestādi, sniedzot pamatojumu par tās lietderību. Pārējo izmaksu detalizācija ir ok. </w:t>
      </w:r>
      <w:r w:rsidR="00574022" w:rsidRPr="00FF4906">
        <w:t xml:space="preserve">  </w:t>
      </w:r>
    </w:p>
    <w:p w:rsidR="00B477FE" w:rsidRPr="00FF4906" w:rsidRDefault="00574022" w:rsidP="00FF4906">
      <w:pPr>
        <w:ind w:left="720"/>
        <w:jc w:val="both"/>
      </w:pPr>
      <w:r w:rsidRPr="00FF4906">
        <w:t>Tomēr vēršam uzmanību, ka sadarbības iestāde var pieprasīt finansējuma sniedzējam sniegt pamatojumu iepirkuma procedūrā izraudzītā piegādātāja līgumcenai un tās atbilstībai attiecīgo pakalpojumu tirgus cenai (MK noteikumi Nr.299 35.punkts).</w:t>
      </w:r>
    </w:p>
    <w:p w:rsidR="00B477FE" w:rsidRPr="00FF4906" w:rsidRDefault="00B477FE" w:rsidP="00FF4906">
      <w:pPr>
        <w:pStyle w:val="ListParagraph"/>
        <w:jc w:val="both"/>
      </w:pPr>
    </w:p>
    <w:p w:rsidR="00B477FE" w:rsidRPr="00FF4906" w:rsidRDefault="00B477FE" w:rsidP="00FF4906">
      <w:pPr>
        <w:pStyle w:val="ListParagraph"/>
        <w:numPr>
          <w:ilvl w:val="0"/>
          <w:numId w:val="5"/>
        </w:numPr>
        <w:spacing w:after="0" w:line="240" w:lineRule="auto"/>
        <w:contextualSpacing w:val="0"/>
        <w:jc w:val="both"/>
      </w:pPr>
      <w:r w:rsidRPr="00FF4906">
        <w:t>Pozīcija ‘Pasniedzēju un nodarbināto ceļa (transporta) izdevumi’ norādīts pamatojuma dokuments ‘Transporta ceļazīme vai maršruta lapa (ja attiecināms)’ – kādos gadījumos tas ir attiecināms? Vai tas attiecas uz gadījumiem, kad izmanto avio un pasažieru vilciena pakalpojumus?</w:t>
      </w:r>
    </w:p>
    <w:p w:rsidR="00B477FE" w:rsidRPr="00FF4906" w:rsidRDefault="00B477FE" w:rsidP="00FF4906">
      <w:pPr>
        <w:pStyle w:val="ListParagraph"/>
        <w:spacing w:after="0" w:line="240" w:lineRule="auto"/>
        <w:contextualSpacing w:val="0"/>
        <w:jc w:val="both"/>
      </w:pPr>
      <w:r w:rsidRPr="00FF4906">
        <w:rPr>
          <w:b/>
        </w:rPr>
        <w:t>Atbilde:</w:t>
      </w:r>
      <w:r w:rsidRPr="00FF4906">
        <w:t xml:space="preserve"> Dokuments “Transporta ceļazīme vai maršruta lapa” ir attiecināms, ja tiek izmantota uzņēmuma vai patapinājuma automašīna. AVIO un pasažieru vilciena pakalpojuma gadījumos šis dokuments nav attiecināms.</w:t>
      </w:r>
    </w:p>
    <w:p w:rsidR="00B477FE" w:rsidRPr="00FF4906" w:rsidRDefault="00B477FE" w:rsidP="00FF4906">
      <w:pPr>
        <w:pStyle w:val="ListParagraph"/>
        <w:jc w:val="both"/>
      </w:pPr>
    </w:p>
    <w:p w:rsidR="00B477FE" w:rsidRPr="00FF4906" w:rsidRDefault="00B477FE" w:rsidP="00FF4906">
      <w:pPr>
        <w:pStyle w:val="ListParagraph"/>
        <w:numPr>
          <w:ilvl w:val="0"/>
          <w:numId w:val="5"/>
        </w:numPr>
        <w:spacing w:after="0" w:line="240" w:lineRule="auto"/>
        <w:contextualSpacing w:val="0"/>
        <w:jc w:val="both"/>
      </w:pPr>
      <w:r w:rsidRPr="00FF4906">
        <w:t>Pozīcija ‘Pasniedzēju un nodarbināto ceļa (transporta) izdevumi’ norādīts pamatojuma dokuments ‘Pasniedzēju un nodarbināto saraksts’ – vai šim sarakstam ir/ būs CFLA noteikta forma vai tas ir brīvas formas dokuments? Ja tas ir brīvas formas dokuments, vai ir kādi obligātie rekvizīti, kas tajā iekļaujami?</w:t>
      </w:r>
    </w:p>
    <w:p w:rsidR="00C54D9D" w:rsidRPr="00FF4906" w:rsidRDefault="00C54D9D" w:rsidP="00FF4906">
      <w:pPr>
        <w:pStyle w:val="ListParagraph"/>
        <w:spacing w:after="0" w:line="240" w:lineRule="auto"/>
        <w:contextualSpacing w:val="0"/>
        <w:jc w:val="both"/>
        <w:rPr>
          <w:b/>
        </w:rPr>
      </w:pPr>
    </w:p>
    <w:p w:rsidR="00B477FE" w:rsidRPr="00FF4906" w:rsidRDefault="00B477FE" w:rsidP="00FF4906">
      <w:pPr>
        <w:pStyle w:val="ListParagraph"/>
        <w:spacing w:after="0" w:line="240" w:lineRule="auto"/>
        <w:contextualSpacing w:val="0"/>
        <w:jc w:val="both"/>
      </w:pPr>
      <w:r w:rsidRPr="00FF4906">
        <w:rPr>
          <w:b/>
        </w:rPr>
        <w:t>Atbilde:</w:t>
      </w:r>
      <w:r w:rsidRPr="00FF4906">
        <w:t xml:space="preserve">  Dokuments “Pasniedzēju un nodarbināto saraksts” ir brīvas formas dokuments saskaņ</w:t>
      </w:r>
      <w:r w:rsidR="000B1EC9" w:rsidRPr="00FF4906">
        <w:t>ā ar uzņēmumā noteikto kārtībā, iekļaujot informāciju, kas apliecina pasniedzēju un nodarbināto ceļa (transporta) izdevumus.</w:t>
      </w:r>
    </w:p>
    <w:p w:rsidR="00B477FE" w:rsidRPr="00FF4906" w:rsidRDefault="00B477FE" w:rsidP="00FF4906">
      <w:pPr>
        <w:pStyle w:val="ListParagraph"/>
        <w:jc w:val="both"/>
      </w:pPr>
    </w:p>
    <w:p w:rsidR="00B477FE" w:rsidRPr="00FF4906" w:rsidRDefault="00B477FE" w:rsidP="00FF4906">
      <w:pPr>
        <w:pStyle w:val="ListParagraph"/>
        <w:numPr>
          <w:ilvl w:val="0"/>
          <w:numId w:val="5"/>
        </w:numPr>
        <w:spacing w:after="0" w:line="240" w:lineRule="auto"/>
        <w:contextualSpacing w:val="0"/>
        <w:jc w:val="both"/>
      </w:pPr>
      <w:r w:rsidRPr="00FF4906">
        <w:t>Saskaņā ar ‘Attiecināmo izdevumus pamatojošo dokumenti’ sarakstu par apmācībām nav obligāti nepieciešami apmeklējuma reģistrācijas saraksti (kā tas bija iepriekš LIAA programmā), nav nepieciešamas darba kārtības/ programmas?</w:t>
      </w:r>
    </w:p>
    <w:p w:rsidR="00C54D9D" w:rsidRPr="00FF4906" w:rsidRDefault="00C54D9D" w:rsidP="00FF4906">
      <w:pPr>
        <w:pStyle w:val="ListParagraph"/>
        <w:spacing w:after="0" w:line="240" w:lineRule="auto"/>
        <w:contextualSpacing w:val="0"/>
        <w:jc w:val="both"/>
        <w:rPr>
          <w:b/>
        </w:rPr>
      </w:pPr>
    </w:p>
    <w:p w:rsidR="000B1EC9" w:rsidRPr="00FF4906" w:rsidRDefault="000B1EC9" w:rsidP="00FF4906">
      <w:pPr>
        <w:pStyle w:val="ListParagraph"/>
        <w:spacing w:after="0" w:line="240" w:lineRule="auto"/>
        <w:contextualSpacing w:val="0"/>
        <w:jc w:val="both"/>
      </w:pPr>
      <w:r w:rsidRPr="00FF4906">
        <w:rPr>
          <w:b/>
        </w:rPr>
        <w:t>Atbilde:</w:t>
      </w:r>
      <w:r w:rsidRPr="00FF4906">
        <w:t xml:space="preserve"> Apmācību apmeklējuma reģistrācijas lapa un/vai saraksti  un apmācību programmas/darba kārtības ir obligāti attiecināmo izdevumu pamatojošie dokumenti. Attiecināmo izdevumu pamatojošo dokumentu saraksts tiks atbilstoši papildināts. </w:t>
      </w:r>
    </w:p>
    <w:p w:rsidR="00B477FE" w:rsidRPr="00FF4906" w:rsidRDefault="00B477FE" w:rsidP="00FF4906">
      <w:pPr>
        <w:pStyle w:val="ListParagraph"/>
        <w:jc w:val="both"/>
      </w:pPr>
    </w:p>
    <w:p w:rsidR="00B477FE" w:rsidRPr="00FF4906" w:rsidRDefault="00B477FE" w:rsidP="00FF4906">
      <w:pPr>
        <w:pStyle w:val="ListParagraph"/>
        <w:numPr>
          <w:ilvl w:val="0"/>
          <w:numId w:val="5"/>
        </w:numPr>
        <w:spacing w:after="0" w:line="240" w:lineRule="auto"/>
        <w:contextualSpacing w:val="0"/>
        <w:jc w:val="both"/>
      </w:pPr>
      <w:r w:rsidRPr="00FF4906">
        <w:t> Saskaņā ar ‘Attiecināmo izdevumus pamatojošo dokumenti’ sarakstu apmācībām norises vietā nav obligāta prasības izvietot vizuālās identitātes plāksni (A3) un šo faktu fiksēt fotogrāfijās (kā tas bija iepriekš LIAA programmā)?</w:t>
      </w:r>
    </w:p>
    <w:p w:rsidR="000B1EC9" w:rsidRPr="00FF4906" w:rsidRDefault="000B1EC9" w:rsidP="00FF4906">
      <w:pPr>
        <w:pStyle w:val="ListParagraph"/>
        <w:spacing w:after="0" w:line="240" w:lineRule="auto"/>
        <w:contextualSpacing w:val="0"/>
        <w:jc w:val="both"/>
      </w:pPr>
    </w:p>
    <w:p w:rsidR="004E0FA5" w:rsidRPr="00FF4906" w:rsidRDefault="004E0FA5" w:rsidP="00FF4906">
      <w:pPr>
        <w:pStyle w:val="ListParagraph"/>
        <w:spacing w:after="0" w:line="240" w:lineRule="auto"/>
        <w:contextualSpacing w:val="0"/>
        <w:jc w:val="both"/>
        <w:rPr>
          <w:rFonts w:asciiTheme="minorHAnsi" w:hAnsiTheme="minorHAnsi"/>
        </w:rPr>
      </w:pPr>
      <w:r w:rsidRPr="00FF4906">
        <w:rPr>
          <w:b/>
        </w:rPr>
        <w:t>Atbilde.</w:t>
      </w:r>
      <w:r w:rsidRPr="00FF4906">
        <w:t xml:space="preserve"> Jā</w:t>
      </w:r>
      <w:r w:rsidRPr="00FF4906">
        <w:rPr>
          <w:rFonts w:asciiTheme="minorHAnsi" w:hAnsiTheme="minorHAnsi"/>
        </w:rPr>
        <w:t xml:space="preserve">, apmācību norises vietā nav obligāta prasība izvietot vizuālās identitātes plāksni un šo faktu fiksēt fotogrāfijās. Finansējuma saņēmējiem </w:t>
      </w:r>
      <w:r w:rsidRPr="00FF4906">
        <w:rPr>
          <w:rStyle w:val="apple-converted-space"/>
          <w:rFonts w:asciiTheme="minorHAnsi" w:hAnsiTheme="minorHAnsi" w:cs="Arial"/>
          <w:shd w:val="clear" w:color="auto" w:fill="F1F1F1"/>
        </w:rPr>
        <w:t> </w:t>
      </w:r>
      <w:r w:rsidRPr="00FF4906">
        <w:rPr>
          <w:rFonts w:asciiTheme="minorHAnsi" w:hAnsiTheme="minorHAnsi" w:cs="Arial"/>
          <w:shd w:val="clear" w:color="auto" w:fill="F1F1F1"/>
        </w:rPr>
        <w:t>jāizpilda pienākumi informācijas un komunikācijas jomā, kas noteikti regulas Nr.</w:t>
      </w:r>
      <w:r w:rsidRPr="00FF4906">
        <w:rPr>
          <w:rStyle w:val="apple-converted-space"/>
          <w:rFonts w:asciiTheme="minorHAnsi" w:hAnsiTheme="minorHAnsi" w:cs="Arial"/>
          <w:shd w:val="clear" w:color="auto" w:fill="F1F1F1"/>
        </w:rPr>
        <w:t> </w:t>
      </w:r>
      <w:hyperlink r:id="rId5" w:tgtFrame="_blank" w:history="1">
        <w:r w:rsidRPr="00FF4906">
          <w:rPr>
            <w:rStyle w:val="Hyperlink"/>
            <w:rFonts w:asciiTheme="minorHAnsi" w:hAnsiTheme="minorHAnsi" w:cs="Arial"/>
            <w:color w:val="auto"/>
            <w:u w:val="none"/>
            <w:shd w:val="clear" w:color="auto" w:fill="F1F1F1"/>
          </w:rPr>
          <w:t>1303/2013</w:t>
        </w:r>
      </w:hyperlink>
      <w:r w:rsidRPr="00FF4906">
        <w:rPr>
          <w:rStyle w:val="apple-converted-space"/>
          <w:rFonts w:asciiTheme="minorHAnsi" w:hAnsiTheme="minorHAnsi" w:cs="Arial"/>
          <w:shd w:val="clear" w:color="auto" w:fill="F1F1F1"/>
        </w:rPr>
        <w:t> </w:t>
      </w:r>
      <w:r w:rsidRPr="00FF4906">
        <w:rPr>
          <w:rFonts w:asciiTheme="minorHAnsi" w:hAnsiTheme="minorHAnsi" w:cs="Arial"/>
          <w:shd w:val="clear" w:color="auto" w:fill="F1F1F1"/>
        </w:rPr>
        <w:t>XII pielikuma 2.2. sadaļā, atbilstoši</w:t>
      </w:r>
      <w:r w:rsidR="00574022" w:rsidRPr="00FF4906">
        <w:rPr>
          <w:rFonts w:asciiTheme="minorHAnsi" w:hAnsiTheme="minorHAnsi" w:cs="Arial"/>
          <w:shd w:val="clear" w:color="auto" w:fill="F1F1F1"/>
        </w:rPr>
        <w:t xml:space="preserve"> nodrošinot vizuālo identitāti, </w:t>
      </w:r>
      <w:r w:rsidR="00574022" w:rsidRPr="00FF4906">
        <w:rPr>
          <w:rFonts w:asciiTheme="minorHAnsi" w:hAnsiTheme="minorHAnsi"/>
        </w:rPr>
        <w:t>t.sk. finansējuma saņēmējs nodrošina, lai personas, kas piedalās apmācībās, būtu informētas par šo finansējumu.</w:t>
      </w:r>
    </w:p>
    <w:p w:rsidR="00B477FE" w:rsidRPr="00FF4906" w:rsidRDefault="00B477FE" w:rsidP="00FF4906">
      <w:pPr>
        <w:pStyle w:val="ListParagraph"/>
        <w:jc w:val="both"/>
      </w:pPr>
    </w:p>
    <w:p w:rsidR="00B477FE" w:rsidRPr="00FF4906" w:rsidRDefault="00B477FE" w:rsidP="00FF4906">
      <w:pPr>
        <w:pStyle w:val="ListParagraph"/>
        <w:numPr>
          <w:ilvl w:val="0"/>
          <w:numId w:val="5"/>
        </w:numPr>
        <w:spacing w:after="0" w:line="240" w:lineRule="auto"/>
        <w:contextualSpacing w:val="0"/>
        <w:jc w:val="both"/>
      </w:pPr>
      <w:r w:rsidRPr="00FF4906">
        <w:t>Saskaņā ar ‘Attiecināmo izdevumus pamatojošo dokumenti’ noteikts, ka visos ar projektu saistītajos īstenošanas dokumentos jānorāda projekta identifikācijas numuru. Vai tas nozīmē, ka numurs jānorāda arī mācību materiālu titullapās, sertifikātos, prezentācijās, kas tiek rādītas mācību norises laikā?</w:t>
      </w:r>
    </w:p>
    <w:p w:rsidR="00C54D9D" w:rsidRPr="00FF4906" w:rsidRDefault="00C54D9D" w:rsidP="00FF4906">
      <w:pPr>
        <w:pStyle w:val="ListParagraph"/>
        <w:spacing w:after="0" w:line="240" w:lineRule="auto"/>
        <w:contextualSpacing w:val="0"/>
        <w:jc w:val="both"/>
      </w:pPr>
    </w:p>
    <w:p w:rsidR="004E0FA5" w:rsidRPr="00FF4906" w:rsidRDefault="004E0FA5" w:rsidP="00FF4906">
      <w:pPr>
        <w:pStyle w:val="ListParagraph"/>
        <w:spacing w:after="0" w:line="240" w:lineRule="auto"/>
        <w:contextualSpacing w:val="0"/>
        <w:jc w:val="both"/>
      </w:pPr>
      <w:r w:rsidRPr="00FF4906">
        <w:rPr>
          <w:b/>
        </w:rPr>
        <w:t>Atbilde.</w:t>
      </w:r>
      <w:r w:rsidRPr="00FF4906">
        <w:t xml:space="preserve"> Projekta identifikācijas numurs ir jānorāda mācību materiālu titullapās un sertifikātos. </w:t>
      </w:r>
    </w:p>
    <w:p w:rsidR="00B477FE" w:rsidRPr="00FF4906" w:rsidRDefault="00B477FE" w:rsidP="00FF4906">
      <w:pPr>
        <w:pStyle w:val="ListParagraph"/>
        <w:jc w:val="both"/>
      </w:pPr>
    </w:p>
    <w:p w:rsidR="00B477FE" w:rsidRPr="00FF4906" w:rsidRDefault="00B477FE" w:rsidP="00FF4906">
      <w:pPr>
        <w:pStyle w:val="ListParagraph"/>
        <w:numPr>
          <w:ilvl w:val="0"/>
          <w:numId w:val="5"/>
        </w:numPr>
        <w:spacing w:after="0" w:line="240" w:lineRule="auto"/>
        <w:contextualSpacing w:val="0"/>
        <w:jc w:val="both"/>
      </w:pPr>
      <w:r w:rsidRPr="00FF4906">
        <w:t>Asociācijai nav pienākums glabāt mācību materiāla vienu eksemplāru, jāuzglabā tikai materiālu titullapas?</w:t>
      </w:r>
    </w:p>
    <w:p w:rsidR="004E0FA5" w:rsidRPr="00FF4906" w:rsidRDefault="004E0FA5" w:rsidP="00FF4906">
      <w:pPr>
        <w:pStyle w:val="ListParagraph"/>
        <w:jc w:val="both"/>
      </w:pPr>
    </w:p>
    <w:p w:rsidR="004E0FA5" w:rsidRPr="00FF4906" w:rsidRDefault="004E0FA5" w:rsidP="00FF4906">
      <w:pPr>
        <w:pStyle w:val="ListParagraph"/>
        <w:spacing w:after="0" w:line="240" w:lineRule="auto"/>
        <w:contextualSpacing w:val="0"/>
        <w:jc w:val="both"/>
      </w:pPr>
      <w:r w:rsidRPr="00FF4906">
        <w:rPr>
          <w:b/>
        </w:rPr>
        <w:t>Atbilde:</w:t>
      </w:r>
      <w:r w:rsidRPr="00FF4906">
        <w:t xml:space="preserve"> Jā, asociācijai ir jāuzglabā tikai materiālu titullapas.</w:t>
      </w:r>
      <w:r w:rsidR="00AD2CC0" w:rsidRPr="00FF4906">
        <w:t xml:space="preserve"> Informējam</w:t>
      </w:r>
      <w:r w:rsidR="00574022" w:rsidRPr="00FF4906">
        <w:t>, ka CFLA atsevišķos gadījumos var pieprasīt iesniegt</w:t>
      </w:r>
      <w:r w:rsidR="00AD2CC0" w:rsidRPr="00FF4906">
        <w:t>/uzrādīt</w:t>
      </w:r>
      <w:r w:rsidR="00574022" w:rsidRPr="00FF4906">
        <w:t xml:space="preserve"> apmācību materiālu</w:t>
      </w:r>
      <w:r w:rsidR="00AD2CC0" w:rsidRPr="00FF4906">
        <w:t xml:space="preserve"> komplektu, lai pārliecinātus par materiālu izmaksu lietderību un </w:t>
      </w:r>
      <w:proofErr w:type="spellStart"/>
      <w:r w:rsidR="00AD2CC0" w:rsidRPr="00FF4906">
        <w:t>attiecināmību</w:t>
      </w:r>
      <w:proofErr w:type="spellEnd"/>
      <w:r w:rsidR="00AD2CC0" w:rsidRPr="00FF4906">
        <w:t>.</w:t>
      </w:r>
      <w:r w:rsidR="00574022" w:rsidRPr="00FF4906">
        <w:t xml:space="preserve"> </w:t>
      </w:r>
    </w:p>
    <w:p w:rsidR="00B477FE" w:rsidRPr="00FF4906" w:rsidRDefault="00B477FE" w:rsidP="00FF4906">
      <w:pPr>
        <w:pStyle w:val="ListParagraph"/>
        <w:jc w:val="both"/>
      </w:pPr>
    </w:p>
    <w:p w:rsidR="00B477FE" w:rsidRPr="00FF4906" w:rsidRDefault="00B477FE" w:rsidP="00FF4906">
      <w:pPr>
        <w:pStyle w:val="ListParagraph"/>
        <w:numPr>
          <w:ilvl w:val="0"/>
          <w:numId w:val="5"/>
        </w:numPr>
        <w:spacing w:after="0" w:line="240" w:lineRule="auto"/>
        <w:contextualSpacing w:val="0"/>
        <w:jc w:val="both"/>
      </w:pPr>
      <w:r w:rsidRPr="00FF4906">
        <w:t>Sertifikātos nav obligāta prasība ievietot vizuālos identitāti?</w:t>
      </w:r>
    </w:p>
    <w:p w:rsidR="00C54D9D" w:rsidRPr="00FF4906" w:rsidRDefault="00C54D9D" w:rsidP="00FF4906">
      <w:pPr>
        <w:pStyle w:val="ListParagraph"/>
        <w:spacing w:after="0" w:line="240" w:lineRule="auto"/>
        <w:contextualSpacing w:val="0"/>
        <w:jc w:val="both"/>
        <w:rPr>
          <w:b/>
        </w:rPr>
      </w:pPr>
    </w:p>
    <w:p w:rsidR="004E0FA5" w:rsidRPr="00FF4906" w:rsidRDefault="004E0FA5" w:rsidP="00FF4906">
      <w:pPr>
        <w:pStyle w:val="ListParagraph"/>
        <w:spacing w:after="0" w:line="240" w:lineRule="auto"/>
        <w:contextualSpacing w:val="0"/>
        <w:jc w:val="both"/>
      </w:pPr>
      <w:r w:rsidRPr="00FF4906">
        <w:rPr>
          <w:b/>
        </w:rPr>
        <w:t>Atbilde.</w:t>
      </w:r>
      <w:r w:rsidRPr="00FF4906">
        <w:t xml:space="preserve"> Nē, </w:t>
      </w:r>
      <w:r w:rsidR="00574022" w:rsidRPr="00FF4906">
        <w:t>tā ir obligāta prasība.</w:t>
      </w:r>
    </w:p>
    <w:p w:rsidR="00B477FE" w:rsidRPr="00FF4906" w:rsidRDefault="00B477FE" w:rsidP="00FF4906">
      <w:pPr>
        <w:pStyle w:val="ListParagraph"/>
        <w:jc w:val="both"/>
      </w:pPr>
    </w:p>
    <w:p w:rsidR="00B477FE" w:rsidRPr="00FF4906" w:rsidRDefault="00B477FE" w:rsidP="00FF4906">
      <w:pPr>
        <w:pStyle w:val="ListParagraph"/>
        <w:numPr>
          <w:ilvl w:val="0"/>
          <w:numId w:val="5"/>
        </w:numPr>
        <w:spacing w:after="0" w:line="240" w:lineRule="auto"/>
        <w:contextualSpacing w:val="0"/>
        <w:jc w:val="both"/>
      </w:pPr>
      <w:r w:rsidRPr="00FF4906">
        <w:t> Saskaņā ar ‘Attiecināmo izdevumus pamatojošo dokumenti’ noteikts, ka iepirkuma procedūras gadījumā jāiesniedz ‘[..] iepirkuma dokumentāciju ar pielikumiem (iepirkuma priekšmeta apraksts, nolikums, līguma projekts u.c., ja attiecināms) [..]’. Līdzšinējā Asociācijas pieredzē līguma projekts netiek iekļauts iepirkuma dokumentācijā. Vai Asociācija šādu praksi var turpināt?</w:t>
      </w:r>
    </w:p>
    <w:p w:rsidR="004E0FA5" w:rsidRPr="00FF4906" w:rsidRDefault="004E0FA5" w:rsidP="00FF4906">
      <w:pPr>
        <w:pStyle w:val="ListParagraph"/>
        <w:spacing w:after="0" w:line="240" w:lineRule="auto"/>
        <w:contextualSpacing w:val="0"/>
        <w:jc w:val="both"/>
      </w:pPr>
      <w:r w:rsidRPr="00FF4906">
        <w:rPr>
          <w:b/>
        </w:rPr>
        <w:t>Atbilde:</w:t>
      </w:r>
      <w:r w:rsidRPr="00FF4906">
        <w:t xml:space="preserve"> Saskaņā ar MK noteikumu Nr.299 prasībām, iepirkumu dokumentācijā nav obligāti jāiekļauj iepirkuma līguma projekts, tomēr pasūtītājs to var iekļaut. Gadījumā, ja izsludinot iepirkumu procedūru, pasūtītājs, iepirkuma dokumentācijas komplektā ir </w:t>
      </w:r>
      <w:r w:rsidRPr="00FF4906">
        <w:lastRenderedPageBreak/>
        <w:t>iekļāvis arī iepirkuma līguma projektu, tad šajā gadījumā CFLA kā attiecināmo izdevumu pamatojošie dokumenti ir jāiesniedz pilns iepirkumu dokumentāciju komplekts, t.sk., iepirkuma līguma projekts.</w:t>
      </w:r>
    </w:p>
    <w:p w:rsidR="00B477FE" w:rsidRPr="00FF4906" w:rsidRDefault="00B477FE" w:rsidP="00FF4906">
      <w:pPr>
        <w:jc w:val="both"/>
        <w:rPr>
          <w:rFonts w:ascii="Times New Roman" w:hAnsi="Times New Roman"/>
          <w:sz w:val="24"/>
          <w:szCs w:val="24"/>
        </w:rPr>
      </w:pPr>
    </w:p>
    <w:p w:rsidR="004E0FA5" w:rsidRPr="00FF4906" w:rsidRDefault="004E0FA5" w:rsidP="00FF4906">
      <w:pPr>
        <w:pStyle w:val="ListParagraph"/>
        <w:numPr>
          <w:ilvl w:val="0"/>
          <w:numId w:val="5"/>
        </w:numPr>
        <w:spacing w:after="0" w:line="240" w:lineRule="auto"/>
        <w:contextualSpacing w:val="0"/>
        <w:jc w:val="both"/>
      </w:pPr>
      <w:r w:rsidRPr="00FF4906">
        <w:t>Tā kā esam uzsākuši Projekta īstenošanu pirms līguma ar CFLA noslēgšanas, vēlamies precizēt vai šajā gadījumā par apmācībām, kas tiks īstenotas pirms līguma, Asociācijai nav jāsniedz apmācību grafiks vai kāda cita ar Projekta īstenošanu saistītā informācija?</w:t>
      </w:r>
    </w:p>
    <w:p w:rsidR="00AD2CC0" w:rsidRPr="00FF4906" w:rsidRDefault="00AD2CC0" w:rsidP="00FF4906">
      <w:pPr>
        <w:pStyle w:val="ListParagraph"/>
        <w:spacing w:after="0" w:line="240" w:lineRule="auto"/>
        <w:contextualSpacing w:val="0"/>
        <w:jc w:val="both"/>
      </w:pPr>
    </w:p>
    <w:p w:rsidR="004E0FA5" w:rsidRPr="00FF4906" w:rsidRDefault="004E0FA5" w:rsidP="00FF4906">
      <w:pPr>
        <w:pStyle w:val="ListParagraph"/>
        <w:spacing w:after="0" w:line="240" w:lineRule="auto"/>
        <w:contextualSpacing w:val="0"/>
        <w:jc w:val="both"/>
      </w:pPr>
      <w:r w:rsidRPr="00FF4906">
        <w:rPr>
          <w:b/>
        </w:rPr>
        <w:t>Atbilde:</w:t>
      </w:r>
      <w:r w:rsidRPr="00FF4906">
        <w:t xml:space="preserve">  Apmācību grafiks būs jāiesniedz pēc projekta līguma noslēgšanas ar CFLA, tajā iekļaujot arī faktiski notikušās apmācības pirms projekta līguma noslēgšanas.</w:t>
      </w:r>
    </w:p>
    <w:p w:rsidR="00525A2C" w:rsidRPr="00FF4906" w:rsidRDefault="00525A2C" w:rsidP="00FF4906">
      <w:pPr>
        <w:pStyle w:val="ListParagraph"/>
        <w:spacing w:after="0" w:line="240" w:lineRule="auto"/>
        <w:contextualSpacing w:val="0"/>
        <w:jc w:val="both"/>
      </w:pPr>
    </w:p>
    <w:p w:rsidR="004E0FA5" w:rsidRPr="00FF4906" w:rsidRDefault="004E0FA5" w:rsidP="00FF4906">
      <w:pPr>
        <w:pStyle w:val="ListParagraph"/>
        <w:jc w:val="both"/>
      </w:pPr>
    </w:p>
    <w:p w:rsidR="004E0FA5" w:rsidRPr="00FF4906" w:rsidRDefault="004E0FA5" w:rsidP="00FF4906">
      <w:pPr>
        <w:pStyle w:val="ListParagraph"/>
        <w:numPr>
          <w:ilvl w:val="0"/>
          <w:numId w:val="5"/>
        </w:numPr>
        <w:spacing w:after="0" w:line="240" w:lineRule="auto"/>
        <w:contextualSpacing w:val="0"/>
        <w:jc w:val="both"/>
      </w:pPr>
      <w:r w:rsidRPr="00FF4906">
        <w:t>Iepirkuma tiek veikts ‘iepērkot’ kursu noteiktam cilvēku skaitam vai norādot dalībnieku amplitūdu no – līdz. Attiecīgi aprēķinot arī kopējo plānoto iepirkuma līguma cenu. Prakse rāda, ka ne vienmēr apmācības tiek īstenotas ‘iepirktajā’ apmērā sakarā ar kādiem iepriekš neparedzamiem apstākļiem. Pēc kādiem kritērijiem vērtēt vai faktiskās īstenošanas nobīde no plānotās ir uzskatāma par būtisku izmaiņu iepirkuma kontekstā?</w:t>
      </w:r>
    </w:p>
    <w:p w:rsidR="00C54D9D" w:rsidRPr="00FF4906" w:rsidRDefault="00C54D9D" w:rsidP="00FF4906">
      <w:pPr>
        <w:pStyle w:val="ListParagraph"/>
        <w:spacing w:after="0" w:line="240" w:lineRule="auto"/>
        <w:contextualSpacing w:val="0"/>
        <w:jc w:val="both"/>
      </w:pPr>
    </w:p>
    <w:p w:rsidR="00525A2C" w:rsidRPr="00FF4906" w:rsidRDefault="00525A2C" w:rsidP="00FF4906">
      <w:pPr>
        <w:pStyle w:val="ListParagraph"/>
        <w:spacing w:after="0" w:line="240" w:lineRule="auto"/>
        <w:contextualSpacing w:val="0"/>
        <w:jc w:val="both"/>
      </w:pPr>
      <w:r w:rsidRPr="00FF4906">
        <w:rPr>
          <w:b/>
        </w:rPr>
        <w:t>Atbilde:</w:t>
      </w:r>
      <w:r w:rsidRPr="00FF4906">
        <w:t xml:space="preserve"> Šajā gadījumā, ja iepirkuma dokumentos  ir norādīts, ka piedāvājuma izvēles kritērijs ir zemākā līgumcena par vienu apmācāmo, tad kopējās līguma izmaksas par faktiski apmācīto cilvēku skaitu netiks uzskatītas par būtiskām iepirkuma līguma izmaiņām iepirkumu procedūras kontekstā. </w:t>
      </w:r>
    </w:p>
    <w:p w:rsidR="004E0FA5" w:rsidRPr="00FF4906" w:rsidRDefault="004E0FA5" w:rsidP="00FF4906">
      <w:pPr>
        <w:pStyle w:val="ListParagraph"/>
        <w:jc w:val="both"/>
      </w:pPr>
    </w:p>
    <w:p w:rsidR="004E0FA5" w:rsidRPr="00FF4906" w:rsidRDefault="004E0FA5" w:rsidP="00FF4906">
      <w:pPr>
        <w:pStyle w:val="ListParagraph"/>
        <w:numPr>
          <w:ilvl w:val="0"/>
          <w:numId w:val="5"/>
        </w:numPr>
        <w:spacing w:after="0" w:line="240" w:lineRule="auto"/>
        <w:contextualSpacing w:val="0"/>
        <w:jc w:val="both"/>
      </w:pPr>
      <w:r w:rsidRPr="00FF4906">
        <w:t>Vai Energoefektivitātes mācības pēc standarta ISO 50001:2011 uzskatāmas par atbilstošām jomai Vides aizsardzība (850)?</w:t>
      </w:r>
    </w:p>
    <w:p w:rsidR="004E0FA5" w:rsidRPr="00FF4906" w:rsidRDefault="004E0FA5" w:rsidP="00FF4906">
      <w:pPr>
        <w:pStyle w:val="ListParagraph"/>
        <w:jc w:val="both"/>
      </w:pPr>
    </w:p>
    <w:p w:rsidR="005707C8" w:rsidRPr="00FF4906" w:rsidRDefault="005707C8" w:rsidP="00FF4906">
      <w:pPr>
        <w:pStyle w:val="ListParagraph"/>
        <w:jc w:val="both"/>
      </w:pPr>
      <w:r w:rsidRPr="00FF4906">
        <w:rPr>
          <w:b/>
        </w:rPr>
        <w:t>Atbilde.</w:t>
      </w:r>
      <w:r w:rsidRPr="00FF4906">
        <w:t xml:space="preserve"> Jā</w:t>
      </w:r>
    </w:p>
    <w:p w:rsidR="00C54D9D" w:rsidRPr="00FF4906" w:rsidRDefault="00C54D9D" w:rsidP="00FF4906">
      <w:pPr>
        <w:pStyle w:val="ListParagraph"/>
        <w:jc w:val="both"/>
      </w:pPr>
    </w:p>
    <w:p w:rsidR="004E0FA5" w:rsidRPr="00FF4906" w:rsidRDefault="004E0FA5" w:rsidP="00FF4906">
      <w:pPr>
        <w:pStyle w:val="ListParagraph"/>
        <w:numPr>
          <w:ilvl w:val="0"/>
          <w:numId w:val="5"/>
        </w:numPr>
        <w:spacing w:after="0" w:line="240" w:lineRule="auto"/>
        <w:contextualSpacing w:val="0"/>
        <w:jc w:val="both"/>
      </w:pPr>
      <w:r w:rsidRPr="00FF4906">
        <w:t>Vai ir zināma Finanšu ministrijas interpretācija jautājumā par mācībām, kuras ir noteiktas kā obligāts standarts, lai veiktu darba pienākumus (izriet no Komisijas regulas Nr.651/2014 31.panta 2.punkta)? Šo jautājumu Jūs atbildējāt 02.02.2016.sarakstē, bet norādījāt, ka, lai precīzi skaidrotu Eiropas Komisijas regulas interpretāciju, esat nosūtījuši informācijas pieprasījumu Finanšu ministrijai.</w:t>
      </w:r>
    </w:p>
    <w:p w:rsidR="0058010C" w:rsidRPr="00FF4906" w:rsidRDefault="0058010C" w:rsidP="00FF4906">
      <w:pPr>
        <w:pStyle w:val="ListParagraph"/>
        <w:jc w:val="both"/>
      </w:pPr>
    </w:p>
    <w:p w:rsidR="0058010C" w:rsidRPr="00FF4906" w:rsidRDefault="0058010C" w:rsidP="00FF4906">
      <w:pPr>
        <w:pStyle w:val="ListParagraph"/>
        <w:spacing w:after="0" w:line="240" w:lineRule="auto"/>
        <w:contextualSpacing w:val="0"/>
        <w:jc w:val="both"/>
      </w:pPr>
      <w:r w:rsidRPr="00FF4906">
        <w:rPr>
          <w:b/>
        </w:rPr>
        <w:t>Atbilde.</w:t>
      </w:r>
      <w:r w:rsidR="00623A98" w:rsidRPr="00FF4906">
        <w:t xml:space="preserve"> </w:t>
      </w:r>
      <w:r w:rsidR="00C54D9D" w:rsidRPr="00FF4906">
        <w:t>V</w:t>
      </w:r>
      <w:r w:rsidR="00623A98" w:rsidRPr="00FF4906">
        <w:t>iennozīmīgu atbildi uz šo jautājumu nav iespējams sniegt, jo katrā nozarē obligātais izglītības standarts, lai darbinieks varētu veikts savus darba pienākumus</w:t>
      </w:r>
      <w:r w:rsidR="00AD2CC0" w:rsidRPr="00FF4906">
        <w:t>,</w:t>
      </w:r>
      <w:r w:rsidR="00623A98" w:rsidRPr="00FF4906">
        <w:t xml:space="preserve"> ir specifisks. </w:t>
      </w:r>
      <w:r w:rsidR="00C54D9D" w:rsidRPr="00FF4906">
        <w:t xml:space="preserve">Vienlaikus Finanšu ministrija norāda, ka piemēram, atbalsta stimulējošās </w:t>
      </w:r>
      <w:r w:rsidR="00FF4906" w:rsidRPr="00FF4906">
        <w:t>ietekmes nosacījums neizpildīsies, ja tiks</w:t>
      </w:r>
      <w:r w:rsidR="00C54D9D" w:rsidRPr="00FF4906">
        <w:t xml:space="preserve"> organizētas apmācības par sertifikāta iegūšanu, kurš ir nepieciešams, lai darbinieks vispār konkrētajā uzņēmumā varētu strādāt.</w:t>
      </w:r>
      <w:r w:rsidR="00FF4906" w:rsidRPr="00FF4906">
        <w:t xml:space="preserve"> Šādas apmācības netiks uzskatītas par atbalstāmām.</w:t>
      </w:r>
    </w:p>
    <w:p w:rsidR="004E0FA5" w:rsidRPr="00FF4906" w:rsidRDefault="004E0FA5" w:rsidP="00FF4906">
      <w:pPr>
        <w:pStyle w:val="ListParagraph"/>
        <w:jc w:val="both"/>
      </w:pPr>
    </w:p>
    <w:p w:rsidR="004E0FA5" w:rsidRPr="00FF4906" w:rsidRDefault="004E0FA5" w:rsidP="00FF4906">
      <w:pPr>
        <w:pStyle w:val="ListParagraph"/>
        <w:numPr>
          <w:ilvl w:val="0"/>
          <w:numId w:val="5"/>
        </w:numPr>
        <w:spacing w:after="0" w:line="240" w:lineRule="auto"/>
        <w:contextualSpacing w:val="0"/>
        <w:jc w:val="both"/>
      </w:pPr>
      <w:r w:rsidRPr="00FF4906">
        <w:t>Vai ir zināms un ir iespējams izsūtīt Asociācijai informāciju par to, kā jāpieņem lēmums par valsts atbalsta piešķiršanu, norādot kāda informācijai biedrībai jāpārbauda, pieņemot lēmumu. Iepriekšējā sarakstē 12.02.2016. Jūs norādījāt, ka jautājums tiek saskaņots ar Finanšu ministriju.</w:t>
      </w:r>
    </w:p>
    <w:p w:rsidR="004E0FA5" w:rsidRPr="00FF4906" w:rsidRDefault="004E0FA5" w:rsidP="00FF4906">
      <w:pPr>
        <w:pStyle w:val="ListParagraph"/>
        <w:jc w:val="both"/>
      </w:pPr>
    </w:p>
    <w:p w:rsidR="00525A2C" w:rsidRPr="00FF4906" w:rsidRDefault="00525A2C" w:rsidP="00FF4906">
      <w:pPr>
        <w:pStyle w:val="ListParagraph"/>
        <w:jc w:val="both"/>
      </w:pPr>
      <w:r w:rsidRPr="00FF4906">
        <w:rPr>
          <w:b/>
        </w:rPr>
        <w:t>Atbilde.</w:t>
      </w:r>
      <w:r w:rsidRPr="00FF4906">
        <w:t xml:space="preserve"> Šis jautājums tiek precizēts un tuvākā laikā būs publicēts CFLA mājas lapā.</w:t>
      </w:r>
    </w:p>
    <w:p w:rsidR="004E0FA5" w:rsidRDefault="004E0FA5" w:rsidP="00BB6169">
      <w:pPr>
        <w:rPr>
          <w:rFonts w:ascii="Times New Roman" w:hAnsi="Times New Roman"/>
          <w:color w:val="1F497D"/>
          <w:sz w:val="24"/>
          <w:szCs w:val="24"/>
        </w:rPr>
      </w:pPr>
    </w:p>
    <w:p w:rsidR="00B477FE" w:rsidRDefault="00B477FE" w:rsidP="00BB6169">
      <w:pPr>
        <w:rPr>
          <w:rFonts w:ascii="Times New Roman" w:hAnsi="Times New Roman"/>
          <w:color w:val="1F497D"/>
          <w:sz w:val="24"/>
          <w:szCs w:val="24"/>
        </w:rPr>
      </w:pPr>
      <w:bookmarkStart w:id="0" w:name="_GoBack"/>
      <w:bookmarkEnd w:id="0"/>
    </w:p>
    <w:sectPr w:rsidR="00B477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0B20"/>
    <w:multiLevelType w:val="hybridMultilevel"/>
    <w:tmpl w:val="D42064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434157"/>
    <w:multiLevelType w:val="hybridMultilevel"/>
    <w:tmpl w:val="B262D1E8"/>
    <w:lvl w:ilvl="0" w:tplc="04260019">
      <w:start w:val="1"/>
      <w:numFmt w:val="lowerLetter"/>
      <w:lvlText w:val="%1."/>
      <w:lvlJc w:val="left"/>
      <w:pPr>
        <w:ind w:left="360" w:hanging="360"/>
      </w:pPr>
    </w:lvl>
    <w:lvl w:ilvl="1" w:tplc="256C0244">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448321D"/>
    <w:multiLevelType w:val="hybridMultilevel"/>
    <w:tmpl w:val="FEE4126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9F97C58"/>
    <w:multiLevelType w:val="hybridMultilevel"/>
    <w:tmpl w:val="34F29460"/>
    <w:lvl w:ilvl="0" w:tplc="04260019">
      <w:start w:val="1"/>
      <w:numFmt w:val="lowerLetter"/>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CD66F0C"/>
    <w:multiLevelType w:val="hybridMultilevel"/>
    <w:tmpl w:val="7C66BE16"/>
    <w:lvl w:ilvl="0" w:tplc="0EFC187A">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719B0865"/>
    <w:multiLevelType w:val="hybridMultilevel"/>
    <w:tmpl w:val="3B6E5D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69"/>
    <w:rsid w:val="000B1EC9"/>
    <w:rsid w:val="001107AD"/>
    <w:rsid w:val="003751E4"/>
    <w:rsid w:val="004E0FA5"/>
    <w:rsid w:val="00525A2C"/>
    <w:rsid w:val="005707C8"/>
    <w:rsid w:val="00574022"/>
    <w:rsid w:val="0058010C"/>
    <w:rsid w:val="00623A98"/>
    <w:rsid w:val="0079253D"/>
    <w:rsid w:val="007F6A3E"/>
    <w:rsid w:val="00901396"/>
    <w:rsid w:val="00AD2CC0"/>
    <w:rsid w:val="00B20957"/>
    <w:rsid w:val="00B477FE"/>
    <w:rsid w:val="00BB6169"/>
    <w:rsid w:val="00C54D9D"/>
    <w:rsid w:val="00C65EC6"/>
    <w:rsid w:val="00C72BD8"/>
    <w:rsid w:val="00D87F1E"/>
    <w:rsid w:val="00FF49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0026F-0293-46A0-9281-BBC29D35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169"/>
    <w:pPr>
      <w:spacing w:after="0" w:line="240" w:lineRule="auto"/>
    </w:pPr>
    <w:rPr>
      <w:rFonts w:ascii="Calibri" w:hAnsi="Calibri" w:cs="Times New Roman"/>
    </w:rPr>
  </w:style>
  <w:style w:type="paragraph" w:styleId="Heading1">
    <w:name w:val="heading 1"/>
    <w:basedOn w:val="Normal"/>
    <w:link w:val="Heading1Char"/>
    <w:uiPriority w:val="9"/>
    <w:qFormat/>
    <w:rsid w:val="003751E4"/>
    <w:pPr>
      <w:spacing w:before="100" w:beforeAutospacing="1" w:after="100" w:afterAutospacing="1"/>
      <w:outlineLvl w:val="0"/>
    </w:pPr>
    <w:rPr>
      <w:rFonts w:ascii="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169"/>
    <w:pPr>
      <w:spacing w:after="200" w:line="276" w:lineRule="auto"/>
      <w:ind w:left="720"/>
      <w:contextualSpacing/>
    </w:pPr>
  </w:style>
  <w:style w:type="character" w:styleId="Hyperlink">
    <w:name w:val="Hyperlink"/>
    <w:basedOn w:val="DefaultParagraphFont"/>
    <w:uiPriority w:val="99"/>
    <w:semiHidden/>
    <w:unhideWhenUsed/>
    <w:rsid w:val="00BB6169"/>
    <w:rPr>
      <w:color w:val="0563C1"/>
      <w:u w:val="single"/>
    </w:rPr>
  </w:style>
  <w:style w:type="paragraph" w:styleId="NoSpacing">
    <w:name w:val="No Spacing"/>
    <w:uiPriority w:val="1"/>
    <w:qFormat/>
    <w:rsid w:val="00BB6169"/>
    <w:pPr>
      <w:spacing w:after="0" w:line="240" w:lineRule="auto"/>
    </w:pPr>
    <w:rPr>
      <w:rFonts w:ascii="Calibri" w:eastAsia="ヒラギノ角ゴ Pro W3" w:hAnsi="Calibri" w:cs="Times New Roman"/>
      <w:color w:val="000000"/>
      <w:szCs w:val="24"/>
    </w:rPr>
  </w:style>
  <w:style w:type="character" w:customStyle="1" w:styleId="Heading1Char">
    <w:name w:val="Heading 1 Char"/>
    <w:basedOn w:val="DefaultParagraphFont"/>
    <w:link w:val="Heading1"/>
    <w:uiPriority w:val="9"/>
    <w:rsid w:val="003751E4"/>
    <w:rPr>
      <w:rFonts w:ascii="Times New Roman" w:hAnsi="Times New Roman" w:cs="Times New Roman"/>
      <w:b/>
      <w:bCs/>
      <w:kern w:val="36"/>
      <w:sz w:val="48"/>
      <w:szCs w:val="48"/>
      <w:lang w:eastAsia="lv-LV"/>
    </w:rPr>
  </w:style>
  <w:style w:type="character" w:customStyle="1" w:styleId="apple-converted-space">
    <w:name w:val="apple-converted-space"/>
    <w:basedOn w:val="DefaultParagraphFont"/>
    <w:rsid w:val="004E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5048">
      <w:bodyDiv w:val="1"/>
      <w:marLeft w:val="0"/>
      <w:marRight w:val="0"/>
      <w:marTop w:val="0"/>
      <w:marBottom w:val="0"/>
      <w:divBdr>
        <w:top w:val="none" w:sz="0" w:space="0" w:color="auto"/>
        <w:left w:val="none" w:sz="0" w:space="0" w:color="auto"/>
        <w:bottom w:val="none" w:sz="0" w:space="0" w:color="auto"/>
        <w:right w:val="none" w:sz="0" w:space="0" w:color="auto"/>
      </w:divBdr>
    </w:div>
    <w:div w:id="394620186">
      <w:bodyDiv w:val="1"/>
      <w:marLeft w:val="0"/>
      <w:marRight w:val="0"/>
      <w:marTop w:val="0"/>
      <w:marBottom w:val="0"/>
      <w:divBdr>
        <w:top w:val="none" w:sz="0" w:space="0" w:color="auto"/>
        <w:left w:val="none" w:sz="0" w:space="0" w:color="auto"/>
        <w:bottom w:val="none" w:sz="0" w:space="0" w:color="auto"/>
        <w:right w:val="none" w:sz="0" w:space="0" w:color="auto"/>
      </w:divBdr>
    </w:div>
    <w:div w:id="579607690">
      <w:bodyDiv w:val="1"/>
      <w:marLeft w:val="0"/>
      <w:marRight w:val="0"/>
      <w:marTop w:val="0"/>
      <w:marBottom w:val="0"/>
      <w:divBdr>
        <w:top w:val="none" w:sz="0" w:space="0" w:color="auto"/>
        <w:left w:val="none" w:sz="0" w:space="0" w:color="auto"/>
        <w:bottom w:val="none" w:sz="0" w:space="0" w:color="auto"/>
        <w:right w:val="none" w:sz="0" w:space="0" w:color="auto"/>
      </w:divBdr>
    </w:div>
    <w:div w:id="714082622">
      <w:bodyDiv w:val="1"/>
      <w:marLeft w:val="0"/>
      <w:marRight w:val="0"/>
      <w:marTop w:val="0"/>
      <w:marBottom w:val="0"/>
      <w:divBdr>
        <w:top w:val="none" w:sz="0" w:space="0" w:color="auto"/>
        <w:left w:val="none" w:sz="0" w:space="0" w:color="auto"/>
        <w:bottom w:val="none" w:sz="0" w:space="0" w:color="auto"/>
        <w:right w:val="none" w:sz="0" w:space="0" w:color="auto"/>
      </w:divBdr>
    </w:div>
    <w:div w:id="1372271078">
      <w:bodyDiv w:val="1"/>
      <w:marLeft w:val="0"/>
      <w:marRight w:val="0"/>
      <w:marTop w:val="0"/>
      <w:marBottom w:val="0"/>
      <w:divBdr>
        <w:top w:val="none" w:sz="0" w:space="0" w:color="auto"/>
        <w:left w:val="none" w:sz="0" w:space="0" w:color="auto"/>
        <w:bottom w:val="none" w:sz="0" w:space="0" w:color="auto"/>
        <w:right w:val="none" w:sz="0" w:space="0" w:color="auto"/>
      </w:divBdr>
    </w:div>
    <w:div w:id="18982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lex.europa.eu/eli/reg/2013/1303?loca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41AB8DF9</Template>
  <TotalTime>391</TotalTime>
  <Pages>5</Pages>
  <Words>7270</Words>
  <Characters>4144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8</cp:revision>
  <dcterms:created xsi:type="dcterms:W3CDTF">2016-03-04T12:48:00Z</dcterms:created>
  <dcterms:modified xsi:type="dcterms:W3CDTF">2016-03-11T12:59:00Z</dcterms:modified>
</cp:coreProperties>
</file>