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BB" w:rsidRDefault="002C07BB" w:rsidP="00A57725">
      <w:pPr>
        <w:rPr>
          <w:rFonts w:ascii="Times New Roman" w:hAnsi="Times New Roman"/>
          <w:b/>
          <w:sz w:val="24"/>
          <w:szCs w:val="24"/>
          <w:u w:val="single"/>
        </w:rPr>
      </w:pPr>
      <w:r w:rsidRPr="00C04EC1">
        <w:rPr>
          <w:rFonts w:ascii="Times New Roman" w:hAnsi="Times New Roman"/>
          <w:b/>
          <w:sz w:val="24"/>
          <w:szCs w:val="24"/>
          <w:u w:val="single"/>
        </w:rPr>
        <w:t>Projekta iesnieguma sagatavošanas, iesniegšanas un vērtēšanas jautājumi</w:t>
      </w:r>
    </w:p>
    <w:p w:rsidR="002C07BB" w:rsidRDefault="002C07BB" w:rsidP="00A57725">
      <w:pPr>
        <w:rPr>
          <w:rFonts w:ascii="Times New Roman" w:hAnsi="Times New Roman"/>
          <w:b/>
          <w:sz w:val="24"/>
          <w:szCs w:val="24"/>
          <w:u w:val="single"/>
        </w:rPr>
      </w:pPr>
    </w:p>
    <w:p w:rsidR="00FF7FBA" w:rsidRPr="009F729C" w:rsidRDefault="002C3658" w:rsidP="00FF7FBA">
      <w:pPr>
        <w:pStyle w:val="PlainText"/>
        <w:numPr>
          <w:ilvl w:val="0"/>
          <w:numId w:val="1"/>
        </w:numPr>
        <w:jc w:val="both"/>
        <w:rPr>
          <w:rFonts w:ascii="Times New Roman" w:hAnsi="Times New Roman" w:cs="Times New Roman"/>
          <w:sz w:val="24"/>
          <w:szCs w:val="24"/>
        </w:rPr>
      </w:pPr>
      <w:r w:rsidRPr="009F729C">
        <w:rPr>
          <w:rFonts w:ascii="Times New Roman" w:hAnsi="Times New Roman" w:cs="Times New Roman"/>
          <w:sz w:val="24"/>
          <w:szCs w:val="24"/>
        </w:rPr>
        <w:t>Par Projekta pieteikuma oriģināla dokumenta juridisko spēku. Atbilstoši vērtēšanas vienotajam kritērijam Nr.4 ‘Projekta iesnieguma oriģinālam ir dokumenta juridiskais spēks’ noteikts iesniegšanas veids elektroniska dokumenta formā vai papīra formā.  Ja Projekts tiek iesniegts, izmantojot Kohēzijas politikas fondu vadības informācijas sistēmu (KPVIS), vai tas ir uzskatāms par iesniegtu elektroniskā dokumenta formā un kopā kā viena datne ir parakstīts ar drošu elektronisko parakstu un satur laika zīmogu (atbilst vērtēšanas vienotajam kritērijam Nr.4.1.)</w:t>
      </w:r>
      <w:proofErr w:type="gramStart"/>
      <w:r w:rsidRPr="009F729C">
        <w:rPr>
          <w:rFonts w:ascii="Times New Roman" w:hAnsi="Times New Roman" w:cs="Times New Roman"/>
          <w:sz w:val="24"/>
          <w:szCs w:val="24"/>
        </w:rPr>
        <w:t xml:space="preserve"> ?</w:t>
      </w:r>
      <w:proofErr w:type="gramEnd"/>
      <w:r w:rsidRPr="009F729C">
        <w:rPr>
          <w:rFonts w:ascii="Times New Roman" w:hAnsi="Times New Roman" w:cs="Times New Roman"/>
          <w:sz w:val="24"/>
          <w:szCs w:val="24"/>
        </w:rPr>
        <w:t>!</w:t>
      </w:r>
    </w:p>
    <w:p w:rsidR="009F729C" w:rsidRPr="009F729C" w:rsidRDefault="009F729C" w:rsidP="009F729C">
      <w:pPr>
        <w:pStyle w:val="PlainText"/>
        <w:jc w:val="both"/>
        <w:rPr>
          <w:rFonts w:ascii="Times New Roman" w:hAnsi="Times New Roman" w:cs="Times New Roman"/>
          <w:sz w:val="24"/>
          <w:szCs w:val="24"/>
        </w:rPr>
      </w:pPr>
    </w:p>
    <w:p w:rsidR="009F729C" w:rsidRPr="009F729C" w:rsidRDefault="009F729C" w:rsidP="009F729C">
      <w:pPr>
        <w:pStyle w:val="PlainText"/>
        <w:jc w:val="both"/>
        <w:rPr>
          <w:rFonts w:ascii="Times New Roman" w:hAnsi="Times New Roman" w:cs="Times New Roman"/>
          <w:b/>
          <w:sz w:val="24"/>
          <w:szCs w:val="24"/>
        </w:rPr>
      </w:pPr>
      <w:r w:rsidRPr="009F729C">
        <w:rPr>
          <w:rFonts w:ascii="Times New Roman" w:hAnsi="Times New Roman" w:cs="Times New Roman"/>
          <w:b/>
          <w:sz w:val="24"/>
          <w:szCs w:val="24"/>
        </w:rPr>
        <w:t>Atbilde:</w:t>
      </w:r>
    </w:p>
    <w:p w:rsidR="009F729C" w:rsidRPr="009F729C" w:rsidRDefault="009F729C" w:rsidP="009F729C">
      <w:pPr>
        <w:pStyle w:val="PlainText"/>
        <w:ind w:left="502"/>
        <w:jc w:val="both"/>
        <w:rPr>
          <w:rFonts w:ascii="Times New Roman" w:hAnsi="Times New Roman" w:cs="Times New Roman"/>
          <w:sz w:val="24"/>
          <w:szCs w:val="24"/>
        </w:rPr>
      </w:pPr>
      <w:r w:rsidRPr="009F729C">
        <w:rPr>
          <w:rFonts w:ascii="Times New Roman" w:hAnsi="Times New Roman" w:cs="Times New Roman"/>
          <w:sz w:val="24"/>
          <w:szCs w:val="24"/>
        </w:rPr>
        <w:t>Iesniedzot projekta iesniegumu KP VIS, projekta iesniegumam automātiski ir dokumenta juridiskais spēks, ko paredz līgums par KP VIS lietošanu-</w:t>
      </w:r>
      <w:proofErr w:type="gramStart"/>
      <w:r w:rsidRPr="009F729C">
        <w:rPr>
          <w:rFonts w:ascii="Times New Roman" w:hAnsi="Times New Roman" w:cs="Times New Roman"/>
          <w:sz w:val="24"/>
          <w:szCs w:val="24"/>
        </w:rPr>
        <w:t xml:space="preserve">  </w:t>
      </w:r>
      <w:proofErr w:type="gramEnd"/>
      <w:r w:rsidRPr="009F729C">
        <w:rPr>
          <w:rFonts w:ascii="Times New Roman" w:hAnsi="Times New Roman" w:cs="Times New Roman"/>
          <w:sz w:val="24"/>
          <w:szCs w:val="24"/>
        </w:rPr>
        <w:t xml:space="preserve">Līgumu ar CFLA par KP VIS lietošanu var noslēgt tikai </w:t>
      </w:r>
      <w:proofErr w:type="spellStart"/>
      <w:r w:rsidRPr="009F729C">
        <w:rPr>
          <w:rFonts w:ascii="Times New Roman" w:hAnsi="Times New Roman" w:cs="Times New Roman"/>
          <w:sz w:val="24"/>
          <w:szCs w:val="24"/>
        </w:rPr>
        <w:t>paraksttiesīgā</w:t>
      </w:r>
      <w:proofErr w:type="spellEnd"/>
      <w:r w:rsidRPr="009F729C">
        <w:rPr>
          <w:rFonts w:ascii="Times New Roman" w:hAnsi="Times New Roman" w:cs="Times New Roman"/>
          <w:sz w:val="24"/>
          <w:szCs w:val="24"/>
        </w:rPr>
        <w:t xml:space="preserve"> persona. </w:t>
      </w:r>
    </w:p>
    <w:p w:rsidR="009F729C" w:rsidRPr="009F729C" w:rsidRDefault="009F729C" w:rsidP="009F729C">
      <w:pPr>
        <w:pStyle w:val="PlainText"/>
        <w:jc w:val="both"/>
        <w:rPr>
          <w:rFonts w:ascii="Times New Roman" w:hAnsi="Times New Roman" w:cs="Times New Roman"/>
          <w:sz w:val="24"/>
          <w:szCs w:val="24"/>
        </w:rPr>
      </w:pPr>
    </w:p>
    <w:p w:rsidR="00FF7FBA" w:rsidRPr="009F729C" w:rsidRDefault="00FF7FBA" w:rsidP="00FF7FBA">
      <w:pPr>
        <w:pStyle w:val="PlainText"/>
        <w:ind w:left="502"/>
        <w:jc w:val="both"/>
        <w:rPr>
          <w:rFonts w:ascii="Times New Roman" w:hAnsi="Times New Roman" w:cs="Times New Roman"/>
          <w:sz w:val="24"/>
          <w:szCs w:val="24"/>
        </w:rPr>
      </w:pPr>
    </w:p>
    <w:p w:rsidR="00FF7FBA" w:rsidRDefault="00FF7FBA" w:rsidP="00FF7FBA">
      <w:pPr>
        <w:pStyle w:val="PlainText"/>
        <w:numPr>
          <w:ilvl w:val="0"/>
          <w:numId w:val="1"/>
        </w:numPr>
        <w:jc w:val="both"/>
        <w:rPr>
          <w:rFonts w:ascii="Times New Roman" w:hAnsi="Times New Roman" w:cs="Times New Roman"/>
          <w:sz w:val="24"/>
          <w:szCs w:val="24"/>
        </w:rPr>
      </w:pPr>
      <w:r w:rsidRPr="009F729C">
        <w:rPr>
          <w:rFonts w:ascii="Times New Roman" w:hAnsi="Times New Roman" w:cs="Times New Roman"/>
          <w:sz w:val="24"/>
          <w:szCs w:val="24"/>
        </w:rPr>
        <w:t>CFLA 19.02.2016. publicētajā ‘Projekta iesnieguma sagatavošanas, iesniegšanas un vērtēšanas jautājumi’ atbildējusi, ka vērtēšanas kritērijos izmantotā frāze ‘citi saimnieciskās darbības veicēji’ ir visi, kas VID reģistrējušies kā saimnieciskās darbības veicēji (t.sk., piemēram, pašnodarbinātas personas, biedrības u.c.).  Vai tas nozīmē, ka projekta ietvaros gala labuma guvējs atbilstoši MK noteikumu 4.punktam var būt arī pašnodarbināta persona un biedrība (pats Projekta iesniedzējs)?!</w:t>
      </w:r>
    </w:p>
    <w:p w:rsidR="009F729C" w:rsidRPr="009F729C" w:rsidRDefault="009F729C" w:rsidP="009F729C">
      <w:pPr>
        <w:pStyle w:val="PlainText"/>
        <w:ind w:left="502"/>
        <w:jc w:val="both"/>
        <w:rPr>
          <w:rFonts w:ascii="Times New Roman" w:hAnsi="Times New Roman" w:cs="Times New Roman"/>
          <w:sz w:val="24"/>
          <w:szCs w:val="24"/>
        </w:rPr>
      </w:pPr>
    </w:p>
    <w:p w:rsidR="009F729C" w:rsidRPr="009F729C" w:rsidRDefault="009F729C" w:rsidP="009F729C">
      <w:pPr>
        <w:rPr>
          <w:rFonts w:ascii="Times New Roman" w:hAnsi="Times New Roman"/>
          <w:b/>
          <w:sz w:val="24"/>
          <w:szCs w:val="24"/>
        </w:rPr>
      </w:pPr>
      <w:r w:rsidRPr="009F729C">
        <w:rPr>
          <w:rFonts w:ascii="Times New Roman" w:hAnsi="Times New Roman"/>
          <w:b/>
          <w:sz w:val="24"/>
          <w:szCs w:val="24"/>
        </w:rPr>
        <w:t>Atbilde:</w:t>
      </w:r>
    </w:p>
    <w:p w:rsidR="009F729C" w:rsidRPr="009F729C" w:rsidRDefault="009F729C" w:rsidP="009F729C">
      <w:pPr>
        <w:pStyle w:val="PlainText"/>
        <w:ind w:left="502"/>
        <w:jc w:val="both"/>
        <w:rPr>
          <w:rFonts w:ascii="Times New Roman" w:hAnsi="Times New Roman" w:cs="Times New Roman"/>
          <w:sz w:val="24"/>
          <w:szCs w:val="24"/>
        </w:rPr>
      </w:pPr>
      <w:r w:rsidRPr="009F729C">
        <w:rPr>
          <w:rFonts w:ascii="Times New Roman" w:hAnsi="Times New Roman" w:cs="Times New Roman"/>
          <w:sz w:val="24"/>
          <w:szCs w:val="24"/>
        </w:rPr>
        <w:t>Nē, gala labuma guvējs nevar būt pašnodarbināta persona un biedrība, jo</w:t>
      </w:r>
      <w:proofErr w:type="gramStart"/>
      <w:r w:rsidRPr="009F729C">
        <w:rPr>
          <w:rFonts w:ascii="Times New Roman" w:hAnsi="Times New Roman" w:cs="Times New Roman"/>
          <w:sz w:val="24"/>
          <w:szCs w:val="24"/>
        </w:rPr>
        <w:t xml:space="preserve">  </w:t>
      </w:r>
      <w:proofErr w:type="gramEnd"/>
      <w:r w:rsidRPr="009F729C">
        <w:rPr>
          <w:rFonts w:ascii="Times New Roman" w:hAnsi="Times New Roman" w:cs="Times New Roman"/>
          <w:sz w:val="24"/>
          <w:szCs w:val="24"/>
        </w:rPr>
        <w:t>saskaņā ar MK noteikumu 4.punktu šī pasākuma gala labuma guvēji ir sīkie, (</w:t>
      </w:r>
      <w:proofErr w:type="spellStart"/>
      <w:r w:rsidRPr="009F729C">
        <w:rPr>
          <w:rFonts w:ascii="Times New Roman" w:hAnsi="Times New Roman" w:cs="Times New Roman"/>
          <w:sz w:val="24"/>
          <w:szCs w:val="24"/>
        </w:rPr>
        <w:t>mikro</w:t>
      </w:r>
      <w:proofErr w:type="spellEnd"/>
      <w:r w:rsidRPr="009F729C">
        <w:rPr>
          <w:rFonts w:ascii="Times New Roman" w:hAnsi="Times New Roman" w:cs="Times New Roman"/>
          <w:sz w:val="24"/>
          <w:szCs w:val="24"/>
        </w:rPr>
        <w:t xml:space="preserve">), mazie, vidējie un lielie komersanti. </w:t>
      </w:r>
    </w:p>
    <w:p w:rsidR="00FF7FBA" w:rsidRPr="009F729C" w:rsidRDefault="00FF7FBA" w:rsidP="00FF7FBA">
      <w:pPr>
        <w:pStyle w:val="PlainText"/>
        <w:ind w:left="502"/>
        <w:jc w:val="both"/>
        <w:rPr>
          <w:rFonts w:ascii="Times New Roman" w:hAnsi="Times New Roman" w:cs="Times New Roman"/>
          <w:sz w:val="24"/>
          <w:szCs w:val="24"/>
        </w:rPr>
      </w:pPr>
    </w:p>
    <w:p w:rsidR="00FF7FBA" w:rsidRPr="009F729C" w:rsidRDefault="00FF7FBA" w:rsidP="00FF7FBA">
      <w:pPr>
        <w:pStyle w:val="ListParagraph"/>
        <w:spacing w:after="0"/>
        <w:ind w:left="502"/>
        <w:jc w:val="both"/>
        <w:rPr>
          <w:rFonts w:ascii="Times New Roman" w:hAnsi="Times New Roman"/>
          <w:sz w:val="24"/>
          <w:szCs w:val="24"/>
        </w:rPr>
      </w:pPr>
    </w:p>
    <w:p w:rsidR="00FF7FBA" w:rsidRPr="009F729C" w:rsidRDefault="009F729C" w:rsidP="009F729C">
      <w:pPr>
        <w:pStyle w:val="ListParagraph"/>
        <w:spacing w:after="0"/>
        <w:ind w:left="426" w:hanging="284"/>
        <w:jc w:val="both"/>
        <w:rPr>
          <w:rFonts w:ascii="Times New Roman" w:hAnsi="Times New Roman"/>
          <w:sz w:val="24"/>
          <w:szCs w:val="24"/>
        </w:rPr>
      </w:pPr>
      <w:r w:rsidRPr="009F729C">
        <w:rPr>
          <w:rFonts w:ascii="Times New Roman" w:hAnsi="Times New Roman"/>
          <w:sz w:val="24"/>
          <w:szCs w:val="24"/>
        </w:rPr>
        <w:t>3)</w:t>
      </w:r>
      <w:r>
        <w:rPr>
          <w:rFonts w:ascii="Times New Roman" w:hAnsi="Times New Roman"/>
          <w:sz w:val="24"/>
          <w:szCs w:val="24"/>
        </w:rPr>
        <w:t>  </w:t>
      </w:r>
      <w:r w:rsidR="00FF7FBA" w:rsidRPr="009F729C">
        <w:rPr>
          <w:rFonts w:ascii="Times New Roman" w:hAnsi="Times New Roman"/>
          <w:sz w:val="24"/>
          <w:szCs w:val="24"/>
        </w:rPr>
        <w:t xml:space="preserve">Projektu iesniegumu vērtēšanas kritēriju piemērošanas metodikā pie kvalitātes kritērija Nr.3 noteikts, ka 20 punktus piešķir, ja  projekta iesniedzējs projekta iesnieguma veidlapā </w:t>
      </w:r>
      <w:r w:rsidR="00FF7FBA" w:rsidRPr="009F729C">
        <w:rPr>
          <w:rFonts w:ascii="Times New Roman" w:hAnsi="Times New Roman"/>
          <w:sz w:val="24"/>
          <w:szCs w:val="24"/>
          <w:u w:val="single"/>
        </w:rPr>
        <w:t>(1.4.sadaļā)</w:t>
      </w:r>
      <w:r w:rsidR="00FF7FBA" w:rsidRPr="009F729C">
        <w:rPr>
          <w:rFonts w:ascii="Times New Roman" w:hAnsi="Times New Roman"/>
          <w:sz w:val="24"/>
          <w:szCs w:val="24"/>
        </w:rPr>
        <w:t xml:space="preserve"> ir izvērtējis un aprakstījis nozares komersantiem (un citiem saimnieciskās darbības veicējiem) nepieciešamās apmācības, kas saistītas </w:t>
      </w:r>
      <w:proofErr w:type="gramStart"/>
      <w:r w:rsidR="00FF7FBA" w:rsidRPr="009F729C">
        <w:rPr>
          <w:rFonts w:ascii="Times New Roman" w:hAnsi="Times New Roman"/>
          <w:sz w:val="24"/>
          <w:szCs w:val="24"/>
        </w:rPr>
        <w:t>ar pētniecības un attīstības</w:t>
      </w:r>
      <w:proofErr w:type="gramEnd"/>
      <w:r w:rsidR="00FF7FBA" w:rsidRPr="009F729C">
        <w:rPr>
          <w:rFonts w:ascii="Times New Roman" w:hAnsi="Times New Roman"/>
          <w:sz w:val="24"/>
          <w:szCs w:val="24"/>
        </w:rPr>
        <w:t xml:space="preserve"> (turpmāk – P&amp;A) darbiem un inovāciju ieviešanu komersantos (un citos saimnieciskās darbības veicējos). Savukārt atbilstoši Projekta iesnieguma veidlapas aizpildīšanas metodikai izvērtējums un apraksts par nozares komersantu nepieciešamajām apmācībām, kas saistītas ar P&amp;A darbiem un inovāciju ieviešanu komersantos, ir iekļaujams </w:t>
      </w:r>
      <w:r w:rsidR="00FF7FBA" w:rsidRPr="009F729C">
        <w:rPr>
          <w:rFonts w:ascii="Times New Roman" w:hAnsi="Times New Roman"/>
          <w:sz w:val="24"/>
          <w:szCs w:val="24"/>
          <w:u w:val="single"/>
        </w:rPr>
        <w:t>1.3. sadaļā (</w:t>
      </w:r>
      <w:r w:rsidR="00FF7FBA" w:rsidRPr="009F729C">
        <w:rPr>
          <w:rFonts w:ascii="Times New Roman" w:hAnsi="Times New Roman"/>
          <w:sz w:val="24"/>
          <w:szCs w:val="24"/>
        </w:rPr>
        <w:t>nevis 1.4.sadaļā kā tas norādīts Projektu iesniegumu vērtēšanas kritēriju piemērošanas metodikā). Vai šajā gadījumā, vērtējot atbilstību kvalitātes kritērijam Nr.3, tiks ņemta vērā informācija abās Projekta iesnieguma sadaļās – 1. 4.un 1.3.?!</w:t>
      </w:r>
    </w:p>
    <w:p w:rsidR="002C3658" w:rsidRPr="009F729C" w:rsidRDefault="002C3658" w:rsidP="002C3658">
      <w:pPr>
        <w:pStyle w:val="ListParagraph"/>
        <w:ind w:left="502"/>
        <w:rPr>
          <w:rFonts w:ascii="Times New Roman" w:hAnsi="Times New Roman"/>
          <w:color w:val="2F5496"/>
          <w:sz w:val="24"/>
          <w:szCs w:val="24"/>
        </w:rPr>
      </w:pPr>
    </w:p>
    <w:p w:rsidR="00FF7FBA" w:rsidRPr="009F729C" w:rsidRDefault="009F729C" w:rsidP="009F729C">
      <w:pPr>
        <w:rPr>
          <w:rFonts w:ascii="Times New Roman" w:hAnsi="Times New Roman"/>
          <w:b/>
          <w:sz w:val="24"/>
          <w:szCs w:val="24"/>
        </w:rPr>
      </w:pPr>
      <w:r w:rsidRPr="009F729C">
        <w:rPr>
          <w:rFonts w:ascii="Times New Roman" w:hAnsi="Times New Roman"/>
          <w:b/>
          <w:sz w:val="24"/>
          <w:szCs w:val="24"/>
        </w:rPr>
        <w:t>Atbilde:</w:t>
      </w:r>
    </w:p>
    <w:p w:rsidR="009F729C" w:rsidRPr="009F729C" w:rsidRDefault="009F729C" w:rsidP="009F729C">
      <w:pPr>
        <w:pStyle w:val="ListParagraph"/>
        <w:spacing w:after="0"/>
        <w:ind w:left="502"/>
        <w:jc w:val="both"/>
        <w:rPr>
          <w:rFonts w:ascii="Times New Roman" w:hAnsi="Times New Roman"/>
          <w:sz w:val="24"/>
          <w:szCs w:val="24"/>
        </w:rPr>
      </w:pPr>
      <w:r w:rsidRPr="009F729C">
        <w:rPr>
          <w:rFonts w:ascii="Times New Roman" w:hAnsi="Times New Roman"/>
          <w:sz w:val="24"/>
          <w:szCs w:val="24"/>
        </w:rPr>
        <w:t>Vērtēšanā tiks ņemta vērā informācija, kas norādīta gan 1.3., gan 1.4.sadaļā.</w:t>
      </w:r>
    </w:p>
    <w:p w:rsidR="00FF7FBA" w:rsidRDefault="00FF7FBA" w:rsidP="002C3658">
      <w:pPr>
        <w:pStyle w:val="ListParagraph"/>
        <w:ind w:left="502"/>
        <w:rPr>
          <w:color w:val="2F5496"/>
        </w:rPr>
      </w:pPr>
    </w:p>
    <w:p w:rsidR="00FF7FBA" w:rsidRDefault="00FF7FBA" w:rsidP="002C3658">
      <w:pPr>
        <w:pStyle w:val="ListParagraph"/>
        <w:ind w:left="502"/>
        <w:rPr>
          <w:color w:val="2F5496"/>
        </w:rPr>
      </w:pPr>
    </w:p>
    <w:p w:rsidR="002C07BB" w:rsidRPr="00C04EC1" w:rsidRDefault="002C07BB" w:rsidP="002C07BB">
      <w:pPr>
        <w:pStyle w:val="ListParagraph"/>
        <w:spacing w:after="0" w:line="240" w:lineRule="auto"/>
        <w:ind w:left="1440"/>
        <w:rPr>
          <w:rFonts w:ascii="Times New Roman" w:hAnsi="Times New Roman"/>
          <w:b/>
          <w:sz w:val="24"/>
          <w:szCs w:val="24"/>
          <w:u w:val="single"/>
        </w:rPr>
      </w:pPr>
      <w:r w:rsidRPr="00C04EC1">
        <w:rPr>
          <w:rFonts w:ascii="Times New Roman" w:hAnsi="Times New Roman"/>
          <w:b/>
          <w:sz w:val="24"/>
          <w:szCs w:val="24"/>
          <w:u w:val="single"/>
        </w:rPr>
        <w:t>Projektu īstenošanas (izmaksu attiecināmības) jautājumi</w:t>
      </w:r>
    </w:p>
    <w:p w:rsidR="00B13555" w:rsidRPr="00C04EC1" w:rsidRDefault="00B13555" w:rsidP="00A57725">
      <w:pPr>
        <w:rPr>
          <w:rFonts w:ascii="Times New Roman" w:hAnsi="Times New Roman"/>
          <w:sz w:val="24"/>
          <w:szCs w:val="24"/>
        </w:rPr>
      </w:pPr>
    </w:p>
    <w:p w:rsidR="002C07BB" w:rsidRPr="00FF7FBA" w:rsidRDefault="002C07BB" w:rsidP="009F729C">
      <w:pPr>
        <w:pStyle w:val="ListParagraph"/>
        <w:numPr>
          <w:ilvl w:val="0"/>
          <w:numId w:val="4"/>
        </w:numPr>
        <w:spacing w:after="0" w:line="240" w:lineRule="auto"/>
        <w:ind w:left="426" w:hanging="284"/>
        <w:jc w:val="both"/>
        <w:rPr>
          <w:rFonts w:ascii="Times New Roman" w:hAnsi="Times New Roman"/>
          <w:sz w:val="24"/>
          <w:szCs w:val="24"/>
        </w:rPr>
      </w:pPr>
      <w:r w:rsidRPr="00FF7FBA">
        <w:rPr>
          <w:rFonts w:ascii="Times New Roman" w:hAnsi="Times New Roman"/>
          <w:sz w:val="24"/>
          <w:szCs w:val="24"/>
        </w:rPr>
        <w:t xml:space="preserve">Vai normatīvie akti nosaka, ka, vērtējot Gala labuma guvēju iespēju saņemt atbalstu, jāņem vērā nodokļu nomaksas stāvoklis? Vai nodokļu nomaksa ir jāņem vērā veicot ERAF </w:t>
      </w:r>
      <w:proofErr w:type="gramStart"/>
      <w:r w:rsidRPr="00FF7FBA">
        <w:rPr>
          <w:rFonts w:ascii="Times New Roman" w:hAnsi="Times New Roman"/>
          <w:sz w:val="24"/>
          <w:szCs w:val="24"/>
        </w:rPr>
        <w:t>finansējuma izmaksu</w:t>
      </w:r>
      <w:proofErr w:type="gramEnd"/>
      <w:r w:rsidRPr="00FF7FBA">
        <w:rPr>
          <w:rFonts w:ascii="Times New Roman" w:hAnsi="Times New Roman"/>
          <w:sz w:val="24"/>
          <w:szCs w:val="24"/>
        </w:rPr>
        <w:t>?</w:t>
      </w:r>
    </w:p>
    <w:p w:rsidR="00FF7FBA" w:rsidRPr="00FF7FBA" w:rsidRDefault="00FF7FBA" w:rsidP="002C07BB">
      <w:pPr>
        <w:ind w:left="360"/>
        <w:rPr>
          <w:rFonts w:ascii="Times New Roman" w:hAnsi="Times New Roman"/>
          <w:b/>
          <w:sz w:val="24"/>
          <w:szCs w:val="24"/>
        </w:rPr>
      </w:pPr>
    </w:p>
    <w:p w:rsidR="009F729C" w:rsidRDefault="002C07BB" w:rsidP="009F729C">
      <w:pPr>
        <w:rPr>
          <w:rFonts w:ascii="Times New Roman" w:hAnsi="Times New Roman"/>
          <w:sz w:val="24"/>
          <w:szCs w:val="24"/>
        </w:rPr>
      </w:pPr>
      <w:r w:rsidRPr="00FF7FBA">
        <w:rPr>
          <w:rFonts w:ascii="Times New Roman" w:hAnsi="Times New Roman"/>
          <w:b/>
          <w:sz w:val="24"/>
          <w:szCs w:val="24"/>
        </w:rPr>
        <w:t>Atbilde:</w:t>
      </w:r>
      <w:r w:rsidRPr="00FF7FBA">
        <w:rPr>
          <w:rFonts w:ascii="Times New Roman" w:hAnsi="Times New Roman"/>
          <w:sz w:val="24"/>
          <w:szCs w:val="24"/>
        </w:rPr>
        <w:t xml:space="preserve"> </w:t>
      </w:r>
    </w:p>
    <w:p w:rsidR="002C07BB" w:rsidRDefault="002C07BB" w:rsidP="009F729C">
      <w:pPr>
        <w:ind w:left="426"/>
        <w:rPr>
          <w:rFonts w:ascii="Times New Roman" w:hAnsi="Times New Roman"/>
          <w:sz w:val="24"/>
          <w:szCs w:val="24"/>
        </w:rPr>
      </w:pPr>
      <w:r w:rsidRPr="00FF7FBA">
        <w:rPr>
          <w:rFonts w:ascii="Times New Roman" w:hAnsi="Times New Roman"/>
          <w:sz w:val="24"/>
          <w:szCs w:val="24"/>
        </w:rPr>
        <w:t>Finansējuma saņēmējam ir jāpārbauda arī</w:t>
      </w:r>
      <w:proofErr w:type="gramStart"/>
      <w:r w:rsidRPr="00FF7FBA">
        <w:rPr>
          <w:rFonts w:ascii="Times New Roman" w:hAnsi="Times New Roman"/>
          <w:sz w:val="24"/>
          <w:szCs w:val="24"/>
        </w:rPr>
        <w:t xml:space="preserve">  </w:t>
      </w:r>
      <w:proofErr w:type="gramEnd"/>
      <w:r w:rsidRPr="00FF7FBA">
        <w:rPr>
          <w:rFonts w:ascii="Times New Roman" w:hAnsi="Times New Roman"/>
          <w:sz w:val="24"/>
          <w:szCs w:val="24"/>
        </w:rPr>
        <w:t>nodokļu parāda neesamība, pieņemot lēmumu par atbalsta sniegšanu gala labuma guvējam. Minētais nosacījums būs iekļauts projekta līgumā.</w:t>
      </w:r>
    </w:p>
    <w:p w:rsidR="002C07BB" w:rsidRDefault="002C07BB" w:rsidP="009F729C">
      <w:pPr>
        <w:ind w:left="426"/>
        <w:rPr>
          <w:rFonts w:ascii="Times New Roman" w:hAnsi="Times New Roman"/>
          <w:sz w:val="24"/>
          <w:szCs w:val="24"/>
        </w:rPr>
      </w:pPr>
    </w:p>
    <w:p w:rsidR="002C07BB" w:rsidRPr="00FF7FBA" w:rsidRDefault="002C07BB" w:rsidP="007114C0">
      <w:pPr>
        <w:pStyle w:val="PlainText"/>
        <w:numPr>
          <w:ilvl w:val="0"/>
          <w:numId w:val="4"/>
        </w:numPr>
        <w:ind w:left="426" w:hanging="284"/>
        <w:jc w:val="both"/>
        <w:rPr>
          <w:rFonts w:ascii="Times New Roman" w:hAnsi="Times New Roman" w:cs="Times New Roman"/>
          <w:sz w:val="24"/>
          <w:szCs w:val="24"/>
        </w:rPr>
      </w:pPr>
      <w:r w:rsidRPr="00FF7FBA">
        <w:rPr>
          <w:rFonts w:ascii="Times New Roman" w:hAnsi="Times New Roman" w:cs="Times New Roman"/>
          <w:sz w:val="24"/>
          <w:szCs w:val="24"/>
        </w:rPr>
        <w:t>Vai projektā 1.2.2.1. pasākums “Atbalsts nodarbināto apmācībām” - 1.</w:t>
      </w:r>
    </w:p>
    <w:p w:rsidR="002C07BB" w:rsidRPr="00FF7FBA" w:rsidRDefault="002C07BB" w:rsidP="007114C0">
      <w:pPr>
        <w:pStyle w:val="PlainText"/>
        <w:ind w:left="426"/>
        <w:jc w:val="both"/>
        <w:rPr>
          <w:rFonts w:ascii="Times New Roman" w:hAnsi="Times New Roman" w:cs="Times New Roman"/>
          <w:sz w:val="24"/>
          <w:szCs w:val="24"/>
        </w:rPr>
      </w:pPr>
      <w:r w:rsidRPr="00FF7FBA">
        <w:rPr>
          <w:rFonts w:ascii="Times New Roman" w:hAnsi="Times New Roman" w:cs="Times New Roman"/>
          <w:sz w:val="24"/>
          <w:szCs w:val="24"/>
        </w:rPr>
        <w:t>projektu iesniegumu atlases kārta Biedrība var apstiprināt projekta partnerus ar sekojošām NACE2 reģistrētām darbības jomām- respektīvi vai ir kādi ierobežojumi uzņēmumiem, kas darbojas šajās jomās:</w:t>
      </w:r>
    </w:p>
    <w:p w:rsidR="002C07BB" w:rsidRPr="00FF7FBA" w:rsidRDefault="002C07BB" w:rsidP="009F729C">
      <w:pPr>
        <w:pStyle w:val="PlainText"/>
        <w:ind w:left="426" w:hanging="284"/>
        <w:rPr>
          <w:rFonts w:ascii="Times New Roman" w:hAnsi="Times New Roman" w:cs="Times New Roman"/>
          <w:sz w:val="24"/>
          <w:szCs w:val="24"/>
        </w:rPr>
      </w:pPr>
    </w:p>
    <w:p w:rsidR="002C07BB" w:rsidRPr="00FF7FBA" w:rsidRDefault="002C07BB" w:rsidP="007114C0">
      <w:pPr>
        <w:pStyle w:val="PlainText"/>
        <w:ind w:left="426"/>
        <w:rPr>
          <w:rFonts w:ascii="Times New Roman" w:hAnsi="Times New Roman" w:cs="Times New Roman"/>
          <w:sz w:val="24"/>
          <w:szCs w:val="24"/>
        </w:rPr>
      </w:pPr>
      <w:r w:rsidRPr="00FF7FBA">
        <w:rPr>
          <w:rFonts w:ascii="Times New Roman" w:hAnsi="Times New Roman" w:cs="Times New Roman"/>
          <w:sz w:val="24"/>
          <w:szCs w:val="24"/>
        </w:rPr>
        <w:t>- tirdzniecība;</w:t>
      </w:r>
    </w:p>
    <w:p w:rsidR="002C07BB" w:rsidRPr="00FF7FBA" w:rsidRDefault="002C07BB" w:rsidP="007114C0">
      <w:pPr>
        <w:pStyle w:val="PlainText"/>
        <w:ind w:left="426"/>
        <w:rPr>
          <w:rFonts w:ascii="Times New Roman" w:hAnsi="Times New Roman" w:cs="Times New Roman"/>
          <w:sz w:val="24"/>
          <w:szCs w:val="24"/>
        </w:rPr>
      </w:pPr>
      <w:r w:rsidRPr="00FF7FBA">
        <w:rPr>
          <w:rFonts w:ascii="Times New Roman" w:hAnsi="Times New Roman" w:cs="Times New Roman"/>
          <w:sz w:val="24"/>
          <w:szCs w:val="24"/>
        </w:rPr>
        <w:t>- noma (iekārtu noma, auto noma);</w:t>
      </w:r>
    </w:p>
    <w:p w:rsidR="002C07BB" w:rsidRPr="00FF7FBA" w:rsidRDefault="002C07BB" w:rsidP="007114C0">
      <w:pPr>
        <w:pStyle w:val="PlainText"/>
        <w:ind w:left="426"/>
        <w:rPr>
          <w:rFonts w:ascii="Times New Roman" w:hAnsi="Times New Roman" w:cs="Times New Roman"/>
          <w:sz w:val="24"/>
          <w:szCs w:val="24"/>
        </w:rPr>
      </w:pPr>
      <w:r w:rsidRPr="00FF7FBA">
        <w:rPr>
          <w:rFonts w:ascii="Times New Roman" w:hAnsi="Times New Roman" w:cs="Times New Roman"/>
          <w:sz w:val="24"/>
          <w:szCs w:val="24"/>
        </w:rPr>
        <w:t>- darījumi ar nekustamajiem īpašumiem.</w:t>
      </w:r>
    </w:p>
    <w:p w:rsidR="002C07BB" w:rsidRPr="00FF7FBA" w:rsidRDefault="002C07BB" w:rsidP="002C07BB">
      <w:pPr>
        <w:pStyle w:val="PlainText"/>
        <w:rPr>
          <w:rFonts w:ascii="Times New Roman" w:hAnsi="Times New Roman" w:cs="Times New Roman"/>
          <w:sz w:val="24"/>
          <w:szCs w:val="24"/>
        </w:rPr>
      </w:pPr>
    </w:p>
    <w:p w:rsidR="009F729C" w:rsidRDefault="00FF7FBA" w:rsidP="00FF7FBA">
      <w:pPr>
        <w:jc w:val="both"/>
        <w:rPr>
          <w:rFonts w:ascii="Times New Roman" w:hAnsi="Times New Roman"/>
          <w:sz w:val="24"/>
          <w:szCs w:val="24"/>
        </w:rPr>
      </w:pPr>
      <w:r w:rsidRPr="00FF7FBA">
        <w:rPr>
          <w:rFonts w:ascii="Times New Roman" w:hAnsi="Times New Roman"/>
          <w:b/>
          <w:sz w:val="24"/>
          <w:szCs w:val="24"/>
        </w:rPr>
        <w:t>Atbilde:</w:t>
      </w:r>
      <w:r w:rsidRPr="00FF7FBA">
        <w:rPr>
          <w:rFonts w:ascii="Times New Roman" w:hAnsi="Times New Roman"/>
          <w:sz w:val="24"/>
          <w:szCs w:val="24"/>
        </w:rPr>
        <w:t xml:space="preserve"> </w:t>
      </w:r>
    </w:p>
    <w:p w:rsidR="00FF7FBA" w:rsidRPr="00FF7FBA" w:rsidRDefault="00FF7FBA" w:rsidP="009F729C">
      <w:pPr>
        <w:ind w:left="426"/>
        <w:jc w:val="both"/>
        <w:rPr>
          <w:rFonts w:ascii="Times New Roman" w:hAnsi="Times New Roman"/>
          <w:sz w:val="24"/>
          <w:szCs w:val="24"/>
        </w:rPr>
      </w:pPr>
      <w:r w:rsidRPr="00FF7FBA">
        <w:rPr>
          <w:rFonts w:ascii="Times New Roman" w:hAnsi="Times New Roman"/>
          <w:sz w:val="24"/>
          <w:szCs w:val="24"/>
        </w:rPr>
        <w:t>Vēršam uzmanību</w:t>
      </w:r>
      <w:r w:rsidR="002C07BB" w:rsidRPr="00FF7FBA">
        <w:rPr>
          <w:rFonts w:ascii="Times New Roman" w:hAnsi="Times New Roman"/>
          <w:sz w:val="24"/>
          <w:szCs w:val="24"/>
        </w:rPr>
        <w:t xml:space="preserve">, ka 1.2.2.1.pasākuma “Atbalsts nodarbināto apmācībām” pirmās atlases kārtas ietvaros, nav noteikts termins “projekta partneri”, bet komersanti, kuriem finansējuma saņēmējs piešķir atbalstu pasākuma ietvaros ir “gala labuma guvēji”. </w:t>
      </w:r>
    </w:p>
    <w:p w:rsidR="002C07BB" w:rsidRPr="00FF7FBA" w:rsidRDefault="00FF7FBA" w:rsidP="009F729C">
      <w:pPr>
        <w:ind w:left="426"/>
        <w:jc w:val="both"/>
        <w:rPr>
          <w:rFonts w:ascii="Times New Roman" w:hAnsi="Times New Roman"/>
          <w:sz w:val="24"/>
          <w:szCs w:val="24"/>
        </w:rPr>
      </w:pPr>
      <w:r w:rsidRPr="00FF7FBA">
        <w:rPr>
          <w:rFonts w:ascii="Times New Roman" w:hAnsi="Times New Roman"/>
          <w:sz w:val="24"/>
          <w:szCs w:val="24"/>
        </w:rPr>
        <w:t>A</w:t>
      </w:r>
      <w:r w:rsidR="002C07BB" w:rsidRPr="00FF7FBA">
        <w:rPr>
          <w:rFonts w:ascii="Times New Roman" w:hAnsi="Times New Roman"/>
          <w:sz w:val="24"/>
          <w:szCs w:val="24"/>
        </w:rPr>
        <w:t>tbalstāmās nozares, kas noteiktas MK noteikumu Nr.617 1.pielikumā, ir attiecināmas uz projektu iesniedzējiem, kas šajā gadījumā ir biedrības.</w:t>
      </w:r>
    </w:p>
    <w:p w:rsidR="002C07BB" w:rsidRPr="00FF7FBA" w:rsidRDefault="002C07BB" w:rsidP="009F729C">
      <w:pPr>
        <w:ind w:left="426"/>
        <w:jc w:val="both"/>
        <w:rPr>
          <w:rFonts w:ascii="Times New Roman" w:hAnsi="Times New Roman"/>
          <w:sz w:val="24"/>
          <w:szCs w:val="24"/>
        </w:rPr>
      </w:pPr>
      <w:r w:rsidRPr="00FF7FBA">
        <w:rPr>
          <w:rFonts w:ascii="Times New Roman" w:hAnsi="Times New Roman"/>
          <w:sz w:val="24"/>
          <w:szCs w:val="24"/>
        </w:rPr>
        <w:t>Attiecībā uz gala labuma guvējiem pastāv trīs ierobežojumi:</w:t>
      </w:r>
    </w:p>
    <w:p w:rsidR="002C07BB" w:rsidRPr="00FF7FBA" w:rsidRDefault="002C07BB" w:rsidP="009F729C">
      <w:pPr>
        <w:pStyle w:val="ListParagraph"/>
        <w:spacing w:after="0"/>
        <w:ind w:left="426"/>
        <w:jc w:val="both"/>
        <w:rPr>
          <w:rFonts w:ascii="Times New Roman" w:hAnsi="Times New Roman"/>
          <w:sz w:val="24"/>
          <w:szCs w:val="24"/>
        </w:rPr>
      </w:pPr>
      <w:r w:rsidRPr="00FF7FBA">
        <w:rPr>
          <w:rFonts w:ascii="Times New Roman" w:hAnsi="Times New Roman"/>
          <w:sz w:val="24"/>
          <w:szCs w:val="24"/>
        </w:rPr>
        <w:t>         Specifiskajā atbilstības kritērijā Nr.2.1. ir noteikts, ka apmācības tiks sniegtas Viedās specializācijas stratēģijā noteiktajām jomām.</w:t>
      </w:r>
    </w:p>
    <w:p w:rsidR="002C07BB" w:rsidRPr="00FF7FBA" w:rsidRDefault="002C07BB" w:rsidP="009F729C">
      <w:pPr>
        <w:pStyle w:val="ListParagraph"/>
        <w:spacing w:after="0"/>
        <w:ind w:left="426"/>
        <w:jc w:val="both"/>
        <w:rPr>
          <w:rFonts w:ascii="Times New Roman" w:hAnsi="Times New Roman"/>
          <w:sz w:val="24"/>
          <w:szCs w:val="24"/>
        </w:rPr>
      </w:pPr>
      <w:r w:rsidRPr="00FF7FBA">
        <w:rPr>
          <w:rFonts w:ascii="Times New Roman" w:hAnsi="Times New Roman"/>
          <w:sz w:val="24"/>
          <w:szCs w:val="24"/>
        </w:rPr>
        <w:t>         Savukārt Ministru kabineta noteikumu Nr.617 14.2.apakšpunktā ir noteiktas neatbalstāmās nozares, kas izriet no Komisijas regulas Nr.651/2014 1.panta 3.punkta.</w:t>
      </w:r>
    </w:p>
    <w:p w:rsidR="002C07BB" w:rsidRPr="00FF7FBA" w:rsidRDefault="002C07BB" w:rsidP="009F729C">
      <w:pPr>
        <w:pStyle w:val="ListParagraph"/>
        <w:spacing w:after="0"/>
        <w:ind w:left="426"/>
        <w:jc w:val="both"/>
        <w:rPr>
          <w:rFonts w:ascii="Times New Roman" w:hAnsi="Times New Roman"/>
          <w:sz w:val="24"/>
          <w:szCs w:val="24"/>
        </w:rPr>
      </w:pPr>
      <w:r w:rsidRPr="00FF7FBA">
        <w:rPr>
          <w:rFonts w:ascii="Times New Roman" w:hAnsi="Times New Roman"/>
          <w:sz w:val="24"/>
          <w:szCs w:val="24"/>
        </w:rPr>
        <w:t>         Gala labuma guvēji var saņemt atbalstu apmācībām, kas atbilst atbalstāmo apmācību jomu sarakstam (MK noteikumu Nr.617 2.pielikumā).</w:t>
      </w:r>
    </w:p>
    <w:p w:rsidR="002C07BB" w:rsidRPr="00FF7FBA" w:rsidRDefault="002C07BB" w:rsidP="009F729C">
      <w:pPr>
        <w:ind w:left="426"/>
        <w:jc w:val="both"/>
        <w:rPr>
          <w:rFonts w:ascii="Times New Roman" w:hAnsi="Times New Roman"/>
          <w:sz w:val="24"/>
          <w:szCs w:val="24"/>
        </w:rPr>
      </w:pPr>
    </w:p>
    <w:p w:rsidR="002C07BB" w:rsidRPr="00FF7FBA" w:rsidRDefault="002C07BB" w:rsidP="009F729C">
      <w:pPr>
        <w:pStyle w:val="PlainText"/>
        <w:ind w:left="426"/>
        <w:jc w:val="both"/>
        <w:rPr>
          <w:rFonts w:ascii="Times New Roman" w:hAnsi="Times New Roman" w:cs="Times New Roman"/>
          <w:sz w:val="24"/>
          <w:szCs w:val="24"/>
        </w:rPr>
      </w:pPr>
      <w:r w:rsidRPr="00FF7FBA">
        <w:rPr>
          <w:rFonts w:ascii="Times New Roman" w:hAnsi="Times New Roman" w:cs="Times New Roman"/>
          <w:sz w:val="24"/>
          <w:szCs w:val="24"/>
        </w:rPr>
        <w:t>Līdz ar to skaidrojam, ka  apmācības tirdzniecības, nomas vai nekustamā īpašuma nozarēs nebūs pieejamas.</w:t>
      </w:r>
    </w:p>
    <w:p w:rsidR="002C07BB" w:rsidRPr="00FF7FBA" w:rsidRDefault="002C07BB" w:rsidP="002C07BB">
      <w:pPr>
        <w:ind w:left="360"/>
        <w:rPr>
          <w:rFonts w:ascii="Times New Roman" w:hAnsi="Times New Roman"/>
          <w:sz w:val="24"/>
          <w:szCs w:val="24"/>
        </w:rPr>
      </w:pPr>
    </w:p>
    <w:p w:rsidR="002C07BB" w:rsidRPr="00FF7FBA" w:rsidRDefault="002C07BB" w:rsidP="002C07BB">
      <w:pPr>
        <w:rPr>
          <w:rFonts w:ascii="Times New Roman" w:hAnsi="Times New Roman"/>
          <w:sz w:val="24"/>
          <w:szCs w:val="24"/>
        </w:rPr>
      </w:pPr>
    </w:p>
    <w:p w:rsidR="002C07BB" w:rsidRPr="00FF7FBA" w:rsidRDefault="002C07BB" w:rsidP="00FF7FBA">
      <w:pPr>
        <w:pStyle w:val="ListParagraph"/>
        <w:numPr>
          <w:ilvl w:val="0"/>
          <w:numId w:val="4"/>
        </w:numPr>
        <w:jc w:val="both"/>
        <w:rPr>
          <w:rFonts w:ascii="Times New Roman" w:hAnsi="Times New Roman"/>
          <w:sz w:val="24"/>
          <w:szCs w:val="24"/>
        </w:rPr>
      </w:pPr>
      <w:r w:rsidRPr="00FF7FBA">
        <w:rPr>
          <w:rFonts w:ascii="Times New Roman" w:hAnsi="Times New Roman"/>
          <w:sz w:val="24"/>
          <w:szCs w:val="24"/>
        </w:rPr>
        <w:t>Vai projektā var tikt ietverta tikai sertifikācija/eksāmens bez apmācībām? Vai tie tomēr ir atbalstāmi tikai kopā ar attiecīgām apmācībām?</w:t>
      </w:r>
    </w:p>
    <w:p w:rsidR="009F729C" w:rsidRPr="009F729C" w:rsidRDefault="002C07BB" w:rsidP="009F729C">
      <w:pPr>
        <w:jc w:val="both"/>
        <w:rPr>
          <w:rFonts w:ascii="Times New Roman" w:hAnsi="Times New Roman"/>
          <w:sz w:val="24"/>
          <w:szCs w:val="24"/>
        </w:rPr>
      </w:pPr>
      <w:r w:rsidRPr="009F729C">
        <w:rPr>
          <w:rFonts w:ascii="Times New Roman" w:hAnsi="Times New Roman"/>
          <w:b/>
          <w:sz w:val="24"/>
          <w:szCs w:val="24"/>
        </w:rPr>
        <w:t>Atbilde:</w:t>
      </w:r>
      <w:r w:rsidRPr="009F729C">
        <w:rPr>
          <w:rFonts w:ascii="Times New Roman" w:hAnsi="Times New Roman"/>
          <w:sz w:val="24"/>
          <w:szCs w:val="24"/>
        </w:rPr>
        <w:t xml:space="preserve"> </w:t>
      </w:r>
    </w:p>
    <w:p w:rsidR="002C07BB" w:rsidRPr="00FF7FBA" w:rsidRDefault="002C07BB" w:rsidP="009F729C">
      <w:pPr>
        <w:pStyle w:val="ListParagraph"/>
        <w:ind w:left="426" w:hanging="66"/>
        <w:jc w:val="both"/>
        <w:rPr>
          <w:rFonts w:ascii="Times New Roman" w:hAnsi="Times New Roman"/>
          <w:sz w:val="24"/>
          <w:szCs w:val="24"/>
        </w:rPr>
      </w:pPr>
      <w:r w:rsidRPr="00FF7FBA">
        <w:rPr>
          <w:rFonts w:ascii="Times New Roman" w:hAnsi="Times New Roman"/>
          <w:sz w:val="24"/>
          <w:szCs w:val="24"/>
        </w:rPr>
        <w:t>MK noteikumu 23.2.1.4.apakšpunktā minētās sertifikācijas un eksaminācijas izmaksas ir atbalstāmas, ja tās ir saistītas ar konkrētajām apmācībām.</w:t>
      </w:r>
    </w:p>
    <w:p w:rsidR="002C07BB" w:rsidRPr="00FF7FBA" w:rsidRDefault="002C07BB" w:rsidP="00FF7FBA">
      <w:pPr>
        <w:pStyle w:val="ListParagraph"/>
        <w:ind w:hanging="360"/>
        <w:jc w:val="both"/>
        <w:rPr>
          <w:rFonts w:ascii="Times New Roman" w:hAnsi="Times New Roman"/>
          <w:sz w:val="24"/>
          <w:szCs w:val="24"/>
        </w:rPr>
      </w:pPr>
    </w:p>
    <w:p w:rsidR="002C07BB" w:rsidRPr="00FF7FBA" w:rsidRDefault="009F729C" w:rsidP="00FF7FBA">
      <w:pPr>
        <w:pStyle w:val="ListParagraph"/>
        <w:numPr>
          <w:ilvl w:val="0"/>
          <w:numId w:val="4"/>
        </w:numPr>
        <w:jc w:val="both"/>
        <w:rPr>
          <w:rFonts w:ascii="Times New Roman" w:hAnsi="Times New Roman"/>
          <w:sz w:val="24"/>
          <w:szCs w:val="24"/>
        </w:rPr>
      </w:pPr>
      <w:r>
        <w:rPr>
          <w:rFonts w:ascii="Times New Roman" w:hAnsi="Times New Roman"/>
          <w:sz w:val="24"/>
          <w:szCs w:val="24"/>
        </w:rPr>
        <w:t> </w:t>
      </w:r>
      <w:r w:rsidR="002C07BB" w:rsidRPr="00FF7FBA">
        <w:rPr>
          <w:rFonts w:ascii="Times New Roman" w:hAnsi="Times New Roman"/>
          <w:sz w:val="24"/>
          <w:szCs w:val="24"/>
        </w:rPr>
        <w:t>Par atbalsta intensitāti uzņēmumiem – ja uzņēmums Latvijā ir meitas uzņēmums, bet mātes kompānija viņiem atrodas ārzemēs (lielais uzņēmums), kā aprēķināt atbalsta intensitātes procentus - jāskaita tikai meitas uzņēmuma Latvijā peļņa, vai tā ir jārēķina kopā ar mātes uzņēmuma peļņu?</w:t>
      </w:r>
    </w:p>
    <w:p w:rsidR="009F729C" w:rsidRDefault="002C07BB" w:rsidP="00FF7FBA">
      <w:pPr>
        <w:jc w:val="both"/>
        <w:rPr>
          <w:rFonts w:ascii="Times New Roman" w:hAnsi="Times New Roman"/>
          <w:sz w:val="24"/>
          <w:szCs w:val="24"/>
        </w:rPr>
      </w:pPr>
      <w:r w:rsidRPr="00FF7FBA">
        <w:rPr>
          <w:rFonts w:ascii="Times New Roman" w:hAnsi="Times New Roman"/>
          <w:sz w:val="24"/>
          <w:szCs w:val="24"/>
        </w:rPr>
        <w:t xml:space="preserve"> </w:t>
      </w:r>
      <w:r w:rsidRPr="009F729C">
        <w:rPr>
          <w:rFonts w:ascii="Times New Roman" w:hAnsi="Times New Roman"/>
          <w:b/>
          <w:sz w:val="24"/>
          <w:szCs w:val="24"/>
        </w:rPr>
        <w:t>Atbilde:</w:t>
      </w:r>
      <w:r w:rsidRPr="00FF7FBA">
        <w:rPr>
          <w:rFonts w:ascii="Times New Roman" w:hAnsi="Times New Roman"/>
          <w:sz w:val="24"/>
          <w:szCs w:val="24"/>
        </w:rPr>
        <w:t xml:space="preserve">       </w:t>
      </w:r>
    </w:p>
    <w:p w:rsidR="002C07BB" w:rsidRDefault="002C07BB" w:rsidP="009F729C">
      <w:pPr>
        <w:ind w:left="426"/>
        <w:jc w:val="both"/>
        <w:rPr>
          <w:rFonts w:ascii="Times New Roman" w:hAnsi="Times New Roman"/>
          <w:sz w:val="24"/>
          <w:szCs w:val="24"/>
        </w:rPr>
      </w:pPr>
      <w:r w:rsidRPr="00FF7FBA">
        <w:rPr>
          <w:rFonts w:ascii="Times New Roman" w:hAnsi="Times New Roman"/>
          <w:sz w:val="24"/>
          <w:szCs w:val="24"/>
        </w:rPr>
        <w:t>Atbalsta intensitāte meitas uzņēmumiem tiek noteikta, rēķinot iekšā arī mātes kompāniju atbilstoši Regulas Nr.651/2014 I pielikumā noteiktajai MVU definīcijai, tai skaitā definīcijai par „saistītajiem uzņēmumiem”.</w:t>
      </w:r>
    </w:p>
    <w:p w:rsidR="009426D8" w:rsidRPr="00FF7FBA" w:rsidRDefault="009426D8" w:rsidP="009F729C">
      <w:pPr>
        <w:ind w:left="426"/>
        <w:jc w:val="both"/>
        <w:rPr>
          <w:rFonts w:ascii="Times New Roman" w:hAnsi="Times New Roman"/>
          <w:sz w:val="24"/>
          <w:szCs w:val="24"/>
        </w:rPr>
      </w:pPr>
    </w:p>
    <w:p w:rsidR="009426D8" w:rsidRPr="009426D8" w:rsidRDefault="009426D8" w:rsidP="009426D8">
      <w:pPr>
        <w:pStyle w:val="ListParagraph"/>
        <w:numPr>
          <w:ilvl w:val="0"/>
          <w:numId w:val="4"/>
        </w:numPr>
        <w:spacing w:after="0"/>
        <w:jc w:val="both"/>
        <w:rPr>
          <w:rFonts w:ascii="Times New Roman" w:hAnsi="Times New Roman"/>
        </w:rPr>
      </w:pPr>
      <w:r w:rsidRPr="009426D8">
        <w:rPr>
          <w:rFonts w:ascii="Times New Roman" w:hAnsi="Times New Roman"/>
        </w:rPr>
        <w:t>Vai uzņēmumi, kas ir nozares piegādes ķēdes dalībnieki (izejvielu piegādātāji), ir atbalstāmi Projekta ietvaros un var piedalīties apmācībās atbilstoši Viedās specializācijas stratēģijā noteiktajām prioritārajām jomām vai nozares identificētajā jaunajā konkurētspējas nišā?</w:t>
      </w:r>
    </w:p>
    <w:p w:rsidR="009426D8" w:rsidRPr="009426D8" w:rsidRDefault="009426D8" w:rsidP="009426D8">
      <w:pPr>
        <w:pStyle w:val="ListParagraph"/>
        <w:spacing w:after="0"/>
        <w:ind w:left="502"/>
        <w:jc w:val="both"/>
        <w:rPr>
          <w:rFonts w:ascii="Times New Roman" w:hAnsi="Times New Roman"/>
          <w:color w:val="1F497D"/>
        </w:rPr>
      </w:pPr>
    </w:p>
    <w:p w:rsidR="009426D8" w:rsidRPr="009426D8" w:rsidRDefault="009426D8" w:rsidP="009426D8">
      <w:pPr>
        <w:jc w:val="both"/>
        <w:rPr>
          <w:rFonts w:ascii="Times New Roman" w:hAnsi="Times New Roman"/>
          <w:b/>
        </w:rPr>
      </w:pPr>
      <w:r w:rsidRPr="009426D8">
        <w:rPr>
          <w:rFonts w:ascii="Times New Roman" w:hAnsi="Times New Roman"/>
          <w:b/>
        </w:rPr>
        <w:t>Atbilde:</w:t>
      </w:r>
    </w:p>
    <w:p w:rsidR="009426D8" w:rsidRPr="009426D8" w:rsidRDefault="009426D8" w:rsidP="009426D8">
      <w:pPr>
        <w:ind w:left="426"/>
        <w:jc w:val="both"/>
        <w:rPr>
          <w:rFonts w:ascii="Times New Roman" w:hAnsi="Times New Roman"/>
          <w:highlight w:val="yellow"/>
        </w:rPr>
      </w:pPr>
      <w:r w:rsidRPr="009426D8">
        <w:rPr>
          <w:rFonts w:ascii="Times New Roman" w:hAnsi="Times New Roman"/>
        </w:rPr>
        <w:t>Jā, ievērojot visus pārējos MK noteikumos noteiktos ierobežojumus</w:t>
      </w:r>
    </w:p>
    <w:p w:rsidR="009426D8" w:rsidRPr="009426D8" w:rsidRDefault="009426D8" w:rsidP="009426D8">
      <w:pPr>
        <w:pStyle w:val="ListParagraph"/>
        <w:ind w:left="502"/>
        <w:rPr>
          <w:rFonts w:ascii="Times New Roman" w:hAnsi="Times New Roman"/>
          <w:color w:val="2F5496"/>
        </w:rPr>
      </w:pPr>
    </w:p>
    <w:p w:rsidR="009426D8" w:rsidRDefault="009426D8" w:rsidP="009426D8">
      <w:pPr>
        <w:pStyle w:val="ListParagraph"/>
        <w:ind w:left="502"/>
        <w:rPr>
          <w:color w:val="2F5496"/>
        </w:rPr>
      </w:pPr>
      <w:bookmarkStart w:id="0" w:name="_GoBack"/>
      <w:bookmarkEnd w:id="0"/>
    </w:p>
    <w:p w:rsidR="009426D8" w:rsidRDefault="009426D8" w:rsidP="009426D8"/>
    <w:p w:rsidR="002472D1" w:rsidRPr="00FF7FBA" w:rsidRDefault="002472D1">
      <w:pPr>
        <w:rPr>
          <w:rFonts w:ascii="Times New Roman" w:hAnsi="Times New Roman"/>
          <w:sz w:val="24"/>
          <w:szCs w:val="24"/>
        </w:rPr>
      </w:pPr>
    </w:p>
    <w:sectPr w:rsidR="002472D1" w:rsidRPr="00FF7F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60E"/>
    <w:multiLevelType w:val="hybridMultilevel"/>
    <w:tmpl w:val="9204088A"/>
    <w:lvl w:ilvl="0" w:tplc="A45A9C46">
      <w:start w:val="1"/>
      <w:numFmt w:val="decimal"/>
      <w:lvlText w:val="%1)"/>
      <w:lvlJc w:val="left"/>
      <w:pPr>
        <w:ind w:left="50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nsid w:val="1B5F4E3A"/>
    <w:multiLevelType w:val="hybridMultilevel"/>
    <w:tmpl w:val="82DCC3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01B0AF5"/>
    <w:multiLevelType w:val="hybridMultilevel"/>
    <w:tmpl w:val="A546FBFC"/>
    <w:lvl w:ilvl="0" w:tplc="86004B60">
      <w:start w:val="1"/>
      <w:numFmt w:val="decimal"/>
      <w:lvlText w:val="%1)"/>
      <w:lvlJc w:val="left"/>
      <w:pPr>
        <w:ind w:left="502" w:hanging="360"/>
      </w:pPr>
      <w:rPr>
        <w:b w:val="0"/>
      </w:rPr>
    </w:lvl>
    <w:lvl w:ilvl="1" w:tplc="04260019">
      <w:start w:val="1"/>
      <w:numFmt w:val="lowerLetter"/>
      <w:lvlText w:val="%2."/>
      <w:lvlJc w:val="left"/>
      <w:pPr>
        <w:ind w:left="1440" w:hanging="360"/>
      </w:pPr>
    </w:lvl>
    <w:lvl w:ilvl="2" w:tplc="D9563FF0">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6471955"/>
    <w:multiLevelType w:val="hybridMultilevel"/>
    <w:tmpl w:val="A546FBFC"/>
    <w:lvl w:ilvl="0" w:tplc="86004B60">
      <w:start w:val="1"/>
      <w:numFmt w:val="decimal"/>
      <w:lvlText w:val="%1)"/>
      <w:lvlJc w:val="left"/>
      <w:pPr>
        <w:ind w:left="502" w:hanging="360"/>
      </w:pPr>
      <w:rPr>
        <w:b w:val="0"/>
      </w:rPr>
    </w:lvl>
    <w:lvl w:ilvl="1" w:tplc="04260019">
      <w:start w:val="1"/>
      <w:numFmt w:val="lowerLetter"/>
      <w:lvlText w:val="%2."/>
      <w:lvlJc w:val="left"/>
      <w:pPr>
        <w:ind w:left="1440" w:hanging="360"/>
      </w:pPr>
    </w:lvl>
    <w:lvl w:ilvl="2" w:tplc="D9563FF0">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25"/>
    <w:rsid w:val="000A70C7"/>
    <w:rsid w:val="002472D1"/>
    <w:rsid w:val="002876A0"/>
    <w:rsid w:val="002C07BB"/>
    <w:rsid w:val="002C3658"/>
    <w:rsid w:val="00347219"/>
    <w:rsid w:val="004C28CB"/>
    <w:rsid w:val="005F3EBE"/>
    <w:rsid w:val="006D253B"/>
    <w:rsid w:val="007114C0"/>
    <w:rsid w:val="008E2CFC"/>
    <w:rsid w:val="009426D8"/>
    <w:rsid w:val="00983818"/>
    <w:rsid w:val="009F729C"/>
    <w:rsid w:val="00A57725"/>
    <w:rsid w:val="00AA2F79"/>
    <w:rsid w:val="00AE00A2"/>
    <w:rsid w:val="00B13555"/>
    <w:rsid w:val="00C11A6F"/>
    <w:rsid w:val="00F44122"/>
    <w:rsid w:val="00FF7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25"/>
    <w:pPr>
      <w:spacing w:after="200" w:line="276" w:lineRule="auto"/>
      <w:ind w:left="720"/>
      <w:contextualSpacing/>
    </w:pPr>
  </w:style>
  <w:style w:type="paragraph" w:styleId="PlainText">
    <w:name w:val="Plain Text"/>
    <w:basedOn w:val="Normal"/>
    <w:link w:val="PlainTextChar"/>
    <w:uiPriority w:val="99"/>
    <w:unhideWhenUsed/>
    <w:rsid w:val="00B13555"/>
    <w:rPr>
      <w:rFonts w:cstheme="minorBidi"/>
      <w:szCs w:val="21"/>
    </w:rPr>
  </w:style>
  <w:style w:type="character" w:customStyle="1" w:styleId="PlainTextChar">
    <w:name w:val="Plain Text Char"/>
    <w:basedOn w:val="DefaultParagraphFont"/>
    <w:link w:val="PlainText"/>
    <w:uiPriority w:val="99"/>
    <w:rsid w:val="00B13555"/>
    <w:rPr>
      <w:rFonts w:ascii="Calibri" w:hAnsi="Calibri"/>
      <w:szCs w:val="21"/>
    </w:rPr>
  </w:style>
  <w:style w:type="paragraph" w:styleId="BalloonText">
    <w:name w:val="Balloon Text"/>
    <w:basedOn w:val="Normal"/>
    <w:link w:val="BalloonTextChar"/>
    <w:uiPriority w:val="99"/>
    <w:semiHidden/>
    <w:unhideWhenUsed/>
    <w:rsid w:val="00FF7FBA"/>
    <w:rPr>
      <w:rFonts w:ascii="Tahoma" w:hAnsi="Tahoma" w:cs="Tahoma"/>
      <w:sz w:val="16"/>
      <w:szCs w:val="16"/>
    </w:rPr>
  </w:style>
  <w:style w:type="character" w:customStyle="1" w:styleId="BalloonTextChar">
    <w:name w:val="Balloon Text Char"/>
    <w:basedOn w:val="DefaultParagraphFont"/>
    <w:link w:val="BalloonText"/>
    <w:uiPriority w:val="99"/>
    <w:semiHidden/>
    <w:rsid w:val="00FF7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25"/>
    <w:pPr>
      <w:spacing w:after="200" w:line="276" w:lineRule="auto"/>
      <w:ind w:left="720"/>
      <w:contextualSpacing/>
    </w:pPr>
  </w:style>
  <w:style w:type="paragraph" w:styleId="PlainText">
    <w:name w:val="Plain Text"/>
    <w:basedOn w:val="Normal"/>
    <w:link w:val="PlainTextChar"/>
    <w:uiPriority w:val="99"/>
    <w:unhideWhenUsed/>
    <w:rsid w:val="00B13555"/>
    <w:rPr>
      <w:rFonts w:cstheme="minorBidi"/>
      <w:szCs w:val="21"/>
    </w:rPr>
  </w:style>
  <w:style w:type="character" w:customStyle="1" w:styleId="PlainTextChar">
    <w:name w:val="Plain Text Char"/>
    <w:basedOn w:val="DefaultParagraphFont"/>
    <w:link w:val="PlainText"/>
    <w:uiPriority w:val="99"/>
    <w:rsid w:val="00B13555"/>
    <w:rPr>
      <w:rFonts w:ascii="Calibri" w:hAnsi="Calibri"/>
      <w:szCs w:val="21"/>
    </w:rPr>
  </w:style>
  <w:style w:type="paragraph" w:styleId="BalloonText">
    <w:name w:val="Balloon Text"/>
    <w:basedOn w:val="Normal"/>
    <w:link w:val="BalloonTextChar"/>
    <w:uiPriority w:val="99"/>
    <w:semiHidden/>
    <w:unhideWhenUsed/>
    <w:rsid w:val="00FF7FBA"/>
    <w:rPr>
      <w:rFonts w:ascii="Tahoma" w:hAnsi="Tahoma" w:cs="Tahoma"/>
      <w:sz w:val="16"/>
      <w:szCs w:val="16"/>
    </w:rPr>
  </w:style>
  <w:style w:type="character" w:customStyle="1" w:styleId="BalloonTextChar">
    <w:name w:val="Balloon Text Char"/>
    <w:basedOn w:val="DefaultParagraphFont"/>
    <w:link w:val="BalloonText"/>
    <w:uiPriority w:val="99"/>
    <w:semiHidden/>
    <w:rsid w:val="00FF7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5510">
      <w:bodyDiv w:val="1"/>
      <w:marLeft w:val="0"/>
      <w:marRight w:val="0"/>
      <w:marTop w:val="0"/>
      <w:marBottom w:val="0"/>
      <w:divBdr>
        <w:top w:val="none" w:sz="0" w:space="0" w:color="auto"/>
        <w:left w:val="none" w:sz="0" w:space="0" w:color="auto"/>
        <w:bottom w:val="none" w:sz="0" w:space="0" w:color="auto"/>
        <w:right w:val="none" w:sz="0" w:space="0" w:color="auto"/>
      </w:divBdr>
    </w:div>
    <w:div w:id="690256111">
      <w:bodyDiv w:val="1"/>
      <w:marLeft w:val="0"/>
      <w:marRight w:val="0"/>
      <w:marTop w:val="0"/>
      <w:marBottom w:val="0"/>
      <w:divBdr>
        <w:top w:val="none" w:sz="0" w:space="0" w:color="auto"/>
        <w:left w:val="none" w:sz="0" w:space="0" w:color="auto"/>
        <w:bottom w:val="none" w:sz="0" w:space="0" w:color="auto"/>
        <w:right w:val="none" w:sz="0" w:space="0" w:color="auto"/>
      </w:divBdr>
    </w:div>
    <w:div w:id="923302221">
      <w:bodyDiv w:val="1"/>
      <w:marLeft w:val="0"/>
      <w:marRight w:val="0"/>
      <w:marTop w:val="0"/>
      <w:marBottom w:val="0"/>
      <w:divBdr>
        <w:top w:val="none" w:sz="0" w:space="0" w:color="auto"/>
        <w:left w:val="none" w:sz="0" w:space="0" w:color="auto"/>
        <w:bottom w:val="none" w:sz="0" w:space="0" w:color="auto"/>
        <w:right w:val="none" w:sz="0" w:space="0" w:color="auto"/>
      </w:divBdr>
    </w:div>
    <w:div w:id="1365518317">
      <w:bodyDiv w:val="1"/>
      <w:marLeft w:val="0"/>
      <w:marRight w:val="0"/>
      <w:marTop w:val="0"/>
      <w:marBottom w:val="0"/>
      <w:divBdr>
        <w:top w:val="none" w:sz="0" w:space="0" w:color="auto"/>
        <w:left w:val="none" w:sz="0" w:space="0" w:color="auto"/>
        <w:bottom w:val="none" w:sz="0" w:space="0" w:color="auto"/>
        <w:right w:val="none" w:sz="0" w:space="0" w:color="auto"/>
      </w:divBdr>
    </w:div>
    <w:div w:id="1432824518">
      <w:bodyDiv w:val="1"/>
      <w:marLeft w:val="0"/>
      <w:marRight w:val="0"/>
      <w:marTop w:val="0"/>
      <w:marBottom w:val="0"/>
      <w:divBdr>
        <w:top w:val="none" w:sz="0" w:space="0" w:color="auto"/>
        <w:left w:val="none" w:sz="0" w:space="0" w:color="auto"/>
        <w:bottom w:val="none" w:sz="0" w:space="0" w:color="auto"/>
        <w:right w:val="none" w:sz="0" w:space="0" w:color="auto"/>
      </w:divBdr>
    </w:div>
    <w:div w:id="20718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3559</Words>
  <Characters>2030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Silina</dc:creator>
  <cp:lastModifiedBy>Ieva Silina</cp:lastModifiedBy>
  <cp:revision>10</cp:revision>
  <cp:lastPrinted>2016-02-25T11:59:00Z</cp:lastPrinted>
  <dcterms:created xsi:type="dcterms:W3CDTF">2016-02-22T08:56:00Z</dcterms:created>
  <dcterms:modified xsi:type="dcterms:W3CDTF">2016-02-26T14:51:00Z</dcterms:modified>
</cp:coreProperties>
</file>