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5A49" w14:textId="35AF77D1" w:rsidR="00B319FE" w:rsidRPr="00646DA8" w:rsidRDefault="005F3647" w:rsidP="005F3647">
      <w:pPr>
        <w:jc w:val="center"/>
        <w:rPr>
          <w:rFonts w:cs="Times New Roman"/>
          <w:sz w:val="28"/>
          <w:szCs w:val="28"/>
        </w:rPr>
      </w:pPr>
      <w:r w:rsidRPr="00646DA8">
        <w:rPr>
          <w:rFonts w:cs="Times New Roman"/>
          <w:b/>
          <w:sz w:val="28"/>
          <w:szCs w:val="28"/>
        </w:rPr>
        <w:t xml:space="preserve">Atbildes uz jautājumiem </w:t>
      </w:r>
      <w:r w:rsidRPr="00646DA8">
        <w:rPr>
          <w:rFonts w:cs="Times New Roman"/>
          <w:sz w:val="28"/>
          <w:szCs w:val="28"/>
        </w:rPr>
        <w:t>par 14.1.1.1. pasākuma “Digitalizācijas iniciatīvas studiju kvalitātes pilnveidei”</w:t>
      </w:r>
    </w:p>
    <w:p w14:paraId="2794621F" w14:textId="151D4C8F" w:rsidR="005F3647" w:rsidRPr="00646DA8" w:rsidRDefault="005F3647" w:rsidP="005F3647">
      <w:pPr>
        <w:jc w:val="center"/>
        <w:rPr>
          <w:rFonts w:cs="Times New Roman"/>
          <w:sz w:val="28"/>
          <w:szCs w:val="28"/>
        </w:rPr>
      </w:pPr>
    </w:p>
    <w:p w14:paraId="718B6480" w14:textId="77777777" w:rsidR="005F3647" w:rsidRPr="00646DA8" w:rsidRDefault="005F3647" w:rsidP="005F3647">
      <w:pPr>
        <w:spacing w:line="276" w:lineRule="auto"/>
        <w:rPr>
          <w:rFonts w:cs="Times New Roman"/>
          <w:sz w:val="24"/>
          <w:szCs w:val="24"/>
          <w:u w:val="single"/>
        </w:rPr>
      </w:pPr>
      <w:r w:rsidRPr="00646DA8">
        <w:rPr>
          <w:rFonts w:cs="Times New Roman"/>
          <w:sz w:val="24"/>
          <w:szCs w:val="24"/>
          <w:u w:val="single"/>
        </w:rPr>
        <w:t xml:space="preserve">Tekstā izmantotie saīsinājumi: </w:t>
      </w:r>
    </w:p>
    <w:p w14:paraId="0B9B6482" w14:textId="509CE5C4" w:rsidR="005F3647" w:rsidRPr="00646DA8" w:rsidRDefault="005F3647" w:rsidP="005F3647">
      <w:pPr>
        <w:pStyle w:val="tv20787921"/>
        <w:spacing w:after="0" w:line="240" w:lineRule="auto"/>
        <w:jc w:val="both"/>
        <w:rPr>
          <w:rFonts w:ascii="Times New Roman" w:eastAsia="Calibri" w:hAnsi="Times New Roman"/>
          <w:b w:val="0"/>
          <w:bCs w:val="0"/>
          <w:sz w:val="24"/>
          <w:szCs w:val="24"/>
          <w:lang w:eastAsia="en-US"/>
        </w:rPr>
      </w:pPr>
      <w:r w:rsidRPr="00646DA8">
        <w:rPr>
          <w:rFonts w:ascii="Times New Roman" w:eastAsia="Calibri" w:hAnsi="Times New Roman"/>
          <w:sz w:val="24"/>
          <w:szCs w:val="24"/>
          <w:lang w:eastAsia="en-US"/>
        </w:rPr>
        <w:t>SAM MK noteikumi</w:t>
      </w:r>
      <w:r w:rsidRPr="00646DA8">
        <w:rPr>
          <w:rFonts w:ascii="Times New Roman" w:eastAsia="Calibri" w:hAnsi="Times New Roman"/>
          <w:b w:val="0"/>
          <w:bCs w:val="0"/>
          <w:sz w:val="24"/>
          <w:szCs w:val="24"/>
          <w:lang w:eastAsia="en-US"/>
        </w:rPr>
        <w:t xml:space="preserve"> – Ministru kabineta 2021. gada 14. decembra noteikumi Nr. 836 </w:t>
      </w:r>
      <w:r w:rsidRPr="00646DA8">
        <w:rPr>
          <w:rFonts w:ascii="Times New Roman" w:hAnsi="Times New Roman"/>
          <w:b w:val="0"/>
          <w:sz w:val="24"/>
          <w:szCs w:val="24"/>
        </w:rPr>
        <w:t>„Darbības programmas "Izaugsme un nodarbinātība" 14.1.1. specifiskā atbalsta mērķa "Atveseļošanas pasākumi izglītības nozarē (ESF)" 14.1.1.1. pasākuma "Digitalizācijas iniciatīvas studiju kvalitātes pilnveidei" īstenošanas noteikumi”</w:t>
      </w:r>
    </w:p>
    <w:p w14:paraId="31E05E44" w14:textId="00A54438" w:rsidR="005F3647" w:rsidRDefault="005F3647" w:rsidP="005F3647">
      <w:pPr>
        <w:pStyle w:val="tv20787921"/>
        <w:spacing w:after="0" w:line="240" w:lineRule="auto"/>
        <w:jc w:val="both"/>
        <w:rPr>
          <w:rFonts w:ascii="Times New Roman" w:hAnsi="Times New Roman"/>
          <w:b w:val="0"/>
          <w:sz w:val="24"/>
          <w:szCs w:val="24"/>
        </w:rPr>
      </w:pPr>
      <w:r w:rsidRPr="00646DA8">
        <w:rPr>
          <w:rFonts w:ascii="Times New Roman" w:hAnsi="Times New Roman"/>
          <w:bCs w:val="0"/>
          <w:sz w:val="24"/>
          <w:szCs w:val="24"/>
        </w:rPr>
        <w:t>14.1.1.1. pasākums</w:t>
      </w:r>
      <w:r w:rsidRPr="00646DA8">
        <w:rPr>
          <w:rFonts w:ascii="Times New Roman" w:hAnsi="Times New Roman"/>
          <w:b w:val="0"/>
          <w:sz w:val="24"/>
          <w:szCs w:val="24"/>
        </w:rPr>
        <w:t xml:space="preserve"> – Darbības programmas "Izaugsme un nodarbinātība" 14.1.1. specifiskā atbalsta mērķa "Atveseļošanas pasākumi izglītības nozarē (ESF)" 14.1.1.1. pasākuma "Digitalizācijas iniciatīvas studiju kvalitātes pilnveidei"</w:t>
      </w:r>
      <w:r w:rsidR="009E6C87" w:rsidRPr="00646DA8">
        <w:rPr>
          <w:rFonts w:ascii="Times New Roman" w:hAnsi="Times New Roman"/>
          <w:b w:val="0"/>
          <w:sz w:val="24"/>
          <w:szCs w:val="24"/>
        </w:rPr>
        <w:t>.</w:t>
      </w:r>
    </w:p>
    <w:p w14:paraId="5F36C41A" w14:textId="77777777" w:rsidR="008312A0" w:rsidRDefault="008312A0" w:rsidP="005F3647">
      <w:pPr>
        <w:pStyle w:val="tv20787921"/>
        <w:spacing w:after="0" w:line="240" w:lineRule="auto"/>
        <w:jc w:val="both"/>
        <w:rPr>
          <w:rFonts w:ascii="Times New Roman" w:hAnsi="Times New Roman"/>
          <w:b w:val="0"/>
          <w:sz w:val="24"/>
          <w:szCs w:val="24"/>
        </w:rPr>
      </w:pPr>
    </w:p>
    <w:sdt>
      <w:sdtPr>
        <w:rPr>
          <w:rFonts w:asciiTheme="minorHAnsi" w:eastAsiaTheme="minorHAnsi" w:hAnsiTheme="minorHAnsi" w:cstheme="minorBidi"/>
          <w:color w:val="auto"/>
          <w:sz w:val="22"/>
          <w:szCs w:val="22"/>
          <w:lang w:val="lv-LV"/>
        </w:rPr>
        <w:id w:val="1872647678"/>
        <w:docPartObj>
          <w:docPartGallery w:val="Table of Contents"/>
          <w:docPartUnique/>
        </w:docPartObj>
      </w:sdtPr>
      <w:sdtEndPr>
        <w:rPr>
          <w:rFonts w:ascii="Times New Roman" w:hAnsi="Times New Roman"/>
          <w:b/>
          <w:bCs/>
        </w:rPr>
      </w:sdtEndPr>
      <w:sdtContent>
        <w:p w14:paraId="1A0E7CD0" w14:textId="77777777" w:rsidR="005F3647" w:rsidRPr="00EE377E" w:rsidRDefault="005F3647" w:rsidP="008312A0">
          <w:pPr>
            <w:pStyle w:val="TOCHeading"/>
            <w:numPr>
              <w:ilvl w:val="0"/>
              <w:numId w:val="0"/>
            </w:numPr>
            <w:rPr>
              <w:rFonts w:ascii="Times New Roman" w:hAnsi="Times New Roman" w:cs="Times New Roman"/>
              <w:color w:val="2E74B5" w:themeColor="accent5" w:themeShade="BF"/>
              <w:lang w:val="lv-LV"/>
            </w:rPr>
          </w:pPr>
          <w:r w:rsidRPr="00EE377E">
            <w:rPr>
              <w:rFonts w:ascii="Times New Roman" w:hAnsi="Times New Roman" w:cs="Times New Roman"/>
              <w:b/>
              <w:bCs/>
              <w:color w:val="2E74B5" w:themeColor="accent5" w:themeShade="BF"/>
              <w:lang w:val="lv-LV"/>
            </w:rPr>
            <w:t>Saturs</w:t>
          </w:r>
        </w:p>
        <w:p w14:paraId="62003DFE" w14:textId="4F8E8E88" w:rsidR="004B01C6" w:rsidRDefault="005F3647">
          <w:pPr>
            <w:pStyle w:val="TOC1"/>
            <w:tabs>
              <w:tab w:val="left" w:pos="440"/>
              <w:tab w:val="right" w:leader="dot" w:pos="14674"/>
            </w:tabs>
            <w:rPr>
              <w:rFonts w:asciiTheme="minorHAnsi" w:eastAsiaTheme="minorEastAsia" w:hAnsiTheme="minorHAnsi"/>
              <w:noProof/>
              <w:lang w:eastAsia="lv-LV"/>
            </w:rPr>
          </w:pPr>
          <w:r w:rsidRPr="00646DA8">
            <w:fldChar w:fldCharType="begin"/>
          </w:r>
          <w:r w:rsidRPr="00646DA8">
            <w:instrText xml:space="preserve"> TOC \o "1-3" \h \z \u </w:instrText>
          </w:r>
          <w:r w:rsidRPr="00646DA8">
            <w:fldChar w:fldCharType="separate"/>
          </w:r>
          <w:hyperlink w:anchor="_Toc100667638" w:history="1">
            <w:r w:rsidR="004B01C6" w:rsidRPr="0066100F">
              <w:rPr>
                <w:rStyle w:val="Hyperlink"/>
                <w:noProof/>
              </w:rPr>
              <w:t>1.</w:t>
            </w:r>
            <w:r w:rsidR="004B01C6">
              <w:rPr>
                <w:rFonts w:asciiTheme="minorHAnsi" w:eastAsiaTheme="minorEastAsia" w:hAnsiTheme="minorHAnsi"/>
                <w:noProof/>
                <w:lang w:eastAsia="lv-LV"/>
              </w:rPr>
              <w:tab/>
            </w:r>
            <w:r w:rsidR="004B01C6" w:rsidRPr="0066100F">
              <w:rPr>
                <w:rStyle w:val="Hyperlink"/>
                <w:noProof/>
              </w:rPr>
              <w:t>Vispārīgi jautājumi</w:t>
            </w:r>
            <w:r w:rsidR="004B01C6">
              <w:rPr>
                <w:noProof/>
                <w:webHidden/>
              </w:rPr>
              <w:tab/>
            </w:r>
            <w:r w:rsidR="004B01C6">
              <w:rPr>
                <w:noProof/>
                <w:webHidden/>
              </w:rPr>
              <w:fldChar w:fldCharType="begin"/>
            </w:r>
            <w:r w:rsidR="004B01C6">
              <w:rPr>
                <w:noProof/>
                <w:webHidden/>
              </w:rPr>
              <w:instrText xml:space="preserve"> PAGEREF _Toc100667638 \h </w:instrText>
            </w:r>
            <w:r w:rsidR="004B01C6">
              <w:rPr>
                <w:noProof/>
                <w:webHidden/>
              </w:rPr>
            </w:r>
            <w:r w:rsidR="004B01C6">
              <w:rPr>
                <w:noProof/>
                <w:webHidden/>
              </w:rPr>
              <w:fldChar w:fldCharType="separate"/>
            </w:r>
            <w:r w:rsidR="004B01C6">
              <w:rPr>
                <w:noProof/>
                <w:webHidden/>
              </w:rPr>
              <w:t>1</w:t>
            </w:r>
            <w:r w:rsidR="004B01C6">
              <w:rPr>
                <w:noProof/>
                <w:webHidden/>
              </w:rPr>
              <w:fldChar w:fldCharType="end"/>
            </w:r>
          </w:hyperlink>
        </w:p>
        <w:p w14:paraId="3E571F54" w14:textId="617D6035" w:rsidR="004B01C6" w:rsidRDefault="004B01C6">
          <w:pPr>
            <w:pStyle w:val="TOC1"/>
            <w:tabs>
              <w:tab w:val="left" w:pos="440"/>
              <w:tab w:val="right" w:leader="dot" w:pos="14674"/>
            </w:tabs>
            <w:rPr>
              <w:rFonts w:asciiTheme="minorHAnsi" w:eastAsiaTheme="minorEastAsia" w:hAnsiTheme="minorHAnsi"/>
              <w:noProof/>
              <w:lang w:eastAsia="lv-LV"/>
            </w:rPr>
          </w:pPr>
          <w:hyperlink w:anchor="_Toc100667639" w:history="1">
            <w:r w:rsidRPr="0066100F">
              <w:rPr>
                <w:rStyle w:val="Hyperlink"/>
                <w:noProof/>
              </w:rPr>
              <w:t>2.</w:t>
            </w:r>
            <w:r>
              <w:rPr>
                <w:rFonts w:asciiTheme="minorHAnsi" w:eastAsiaTheme="minorEastAsia" w:hAnsiTheme="minorHAnsi"/>
                <w:noProof/>
                <w:lang w:eastAsia="lv-LV"/>
              </w:rPr>
              <w:tab/>
            </w:r>
            <w:r w:rsidRPr="0066100F">
              <w:rPr>
                <w:rStyle w:val="Hyperlink"/>
                <w:noProof/>
              </w:rPr>
              <w:t>Īstenošanas nosacījumi</w:t>
            </w:r>
            <w:r>
              <w:rPr>
                <w:noProof/>
                <w:webHidden/>
              </w:rPr>
              <w:tab/>
            </w:r>
            <w:r>
              <w:rPr>
                <w:noProof/>
                <w:webHidden/>
              </w:rPr>
              <w:fldChar w:fldCharType="begin"/>
            </w:r>
            <w:r>
              <w:rPr>
                <w:noProof/>
                <w:webHidden/>
              </w:rPr>
              <w:instrText xml:space="preserve"> PAGEREF _Toc100667639 \h </w:instrText>
            </w:r>
            <w:r>
              <w:rPr>
                <w:noProof/>
                <w:webHidden/>
              </w:rPr>
            </w:r>
            <w:r>
              <w:rPr>
                <w:noProof/>
                <w:webHidden/>
              </w:rPr>
              <w:fldChar w:fldCharType="separate"/>
            </w:r>
            <w:r>
              <w:rPr>
                <w:noProof/>
                <w:webHidden/>
              </w:rPr>
              <w:t>3</w:t>
            </w:r>
            <w:r>
              <w:rPr>
                <w:noProof/>
                <w:webHidden/>
              </w:rPr>
              <w:fldChar w:fldCharType="end"/>
            </w:r>
          </w:hyperlink>
        </w:p>
        <w:p w14:paraId="2F599C21" w14:textId="0DEE23AC" w:rsidR="004B01C6" w:rsidRDefault="004B01C6">
          <w:pPr>
            <w:pStyle w:val="TOC1"/>
            <w:tabs>
              <w:tab w:val="left" w:pos="440"/>
              <w:tab w:val="right" w:leader="dot" w:pos="14674"/>
            </w:tabs>
            <w:rPr>
              <w:rFonts w:asciiTheme="minorHAnsi" w:eastAsiaTheme="minorEastAsia" w:hAnsiTheme="minorHAnsi"/>
              <w:noProof/>
              <w:lang w:eastAsia="lv-LV"/>
            </w:rPr>
          </w:pPr>
          <w:hyperlink w:anchor="_Toc100667640" w:history="1">
            <w:r w:rsidRPr="0066100F">
              <w:rPr>
                <w:rStyle w:val="Hyperlink"/>
                <w:noProof/>
              </w:rPr>
              <w:t>3.</w:t>
            </w:r>
            <w:r>
              <w:rPr>
                <w:rFonts w:asciiTheme="minorHAnsi" w:eastAsiaTheme="minorEastAsia" w:hAnsiTheme="minorHAnsi"/>
                <w:noProof/>
                <w:lang w:eastAsia="lv-LV"/>
              </w:rPr>
              <w:tab/>
            </w:r>
            <w:r w:rsidRPr="0066100F">
              <w:rPr>
                <w:rStyle w:val="Hyperlink"/>
                <w:noProof/>
              </w:rPr>
              <w:t>Vērtēšana/ Lēmumu pieņemšana</w:t>
            </w:r>
            <w:r>
              <w:rPr>
                <w:noProof/>
                <w:webHidden/>
              </w:rPr>
              <w:tab/>
            </w:r>
            <w:r>
              <w:rPr>
                <w:noProof/>
                <w:webHidden/>
              </w:rPr>
              <w:fldChar w:fldCharType="begin"/>
            </w:r>
            <w:r>
              <w:rPr>
                <w:noProof/>
                <w:webHidden/>
              </w:rPr>
              <w:instrText xml:space="preserve"> PAGEREF _Toc100667640 \h </w:instrText>
            </w:r>
            <w:r>
              <w:rPr>
                <w:noProof/>
                <w:webHidden/>
              </w:rPr>
            </w:r>
            <w:r>
              <w:rPr>
                <w:noProof/>
                <w:webHidden/>
              </w:rPr>
              <w:fldChar w:fldCharType="separate"/>
            </w:r>
            <w:r>
              <w:rPr>
                <w:noProof/>
                <w:webHidden/>
              </w:rPr>
              <w:t>3</w:t>
            </w:r>
            <w:r>
              <w:rPr>
                <w:noProof/>
                <w:webHidden/>
              </w:rPr>
              <w:fldChar w:fldCharType="end"/>
            </w:r>
          </w:hyperlink>
        </w:p>
        <w:p w14:paraId="1BC763D3" w14:textId="6DFD47FF" w:rsidR="004B01C6" w:rsidRDefault="004B01C6">
          <w:pPr>
            <w:pStyle w:val="TOC1"/>
            <w:tabs>
              <w:tab w:val="left" w:pos="440"/>
              <w:tab w:val="right" w:leader="dot" w:pos="14674"/>
            </w:tabs>
            <w:rPr>
              <w:rFonts w:asciiTheme="minorHAnsi" w:eastAsiaTheme="minorEastAsia" w:hAnsiTheme="minorHAnsi"/>
              <w:noProof/>
              <w:lang w:eastAsia="lv-LV"/>
            </w:rPr>
          </w:pPr>
          <w:hyperlink w:anchor="_Toc100667641" w:history="1">
            <w:r w:rsidRPr="0066100F">
              <w:rPr>
                <w:rStyle w:val="Hyperlink"/>
                <w:noProof/>
              </w:rPr>
              <w:t>4.</w:t>
            </w:r>
            <w:r>
              <w:rPr>
                <w:rFonts w:asciiTheme="minorHAnsi" w:eastAsiaTheme="minorEastAsia" w:hAnsiTheme="minorHAnsi"/>
                <w:noProof/>
                <w:lang w:eastAsia="lv-LV"/>
              </w:rPr>
              <w:tab/>
            </w:r>
            <w:r w:rsidRPr="0066100F">
              <w:rPr>
                <w:rStyle w:val="Hyperlink"/>
                <w:noProof/>
              </w:rPr>
              <w:t>Attiecināmās izmaksas</w:t>
            </w:r>
            <w:r>
              <w:rPr>
                <w:noProof/>
                <w:webHidden/>
              </w:rPr>
              <w:tab/>
            </w:r>
            <w:r>
              <w:rPr>
                <w:noProof/>
                <w:webHidden/>
              </w:rPr>
              <w:fldChar w:fldCharType="begin"/>
            </w:r>
            <w:r>
              <w:rPr>
                <w:noProof/>
                <w:webHidden/>
              </w:rPr>
              <w:instrText xml:space="preserve"> PAGEREF _Toc100667641 \h </w:instrText>
            </w:r>
            <w:r>
              <w:rPr>
                <w:noProof/>
                <w:webHidden/>
              </w:rPr>
            </w:r>
            <w:r>
              <w:rPr>
                <w:noProof/>
                <w:webHidden/>
              </w:rPr>
              <w:fldChar w:fldCharType="separate"/>
            </w:r>
            <w:r>
              <w:rPr>
                <w:noProof/>
                <w:webHidden/>
              </w:rPr>
              <w:t>4</w:t>
            </w:r>
            <w:r>
              <w:rPr>
                <w:noProof/>
                <w:webHidden/>
              </w:rPr>
              <w:fldChar w:fldCharType="end"/>
            </w:r>
          </w:hyperlink>
        </w:p>
        <w:p w14:paraId="4B4D5438" w14:textId="3D7746B2" w:rsidR="004B01C6" w:rsidRDefault="004B01C6">
          <w:pPr>
            <w:pStyle w:val="TOC1"/>
            <w:tabs>
              <w:tab w:val="left" w:pos="440"/>
              <w:tab w:val="right" w:leader="dot" w:pos="14674"/>
            </w:tabs>
            <w:rPr>
              <w:rFonts w:asciiTheme="minorHAnsi" w:eastAsiaTheme="minorEastAsia" w:hAnsiTheme="minorHAnsi"/>
              <w:noProof/>
              <w:lang w:eastAsia="lv-LV"/>
            </w:rPr>
          </w:pPr>
          <w:hyperlink w:anchor="_Toc100667642" w:history="1">
            <w:r w:rsidRPr="0066100F">
              <w:rPr>
                <w:rStyle w:val="Hyperlink"/>
                <w:noProof/>
              </w:rPr>
              <w:t>5.</w:t>
            </w:r>
            <w:r>
              <w:rPr>
                <w:rFonts w:asciiTheme="minorHAnsi" w:eastAsiaTheme="minorEastAsia" w:hAnsiTheme="minorHAnsi"/>
                <w:noProof/>
                <w:lang w:eastAsia="lv-LV"/>
              </w:rPr>
              <w:tab/>
            </w:r>
            <w:r w:rsidRPr="0066100F">
              <w:rPr>
                <w:rStyle w:val="Hyperlink"/>
                <w:noProof/>
              </w:rPr>
              <w:t>Projekta iesnieguma aizpildīšana/ Pielikumi</w:t>
            </w:r>
            <w:r>
              <w:rPr>
                <w:noProof/>
                <w:webHidden/>
              </w:rPr>
              <w:tab/>
            </w:r>
            <w:r>
              <w:rPr>
                <w:noProof/>
                <w:webHidden/>
              </w:rPr>
              <w:fldChar w:fldCharType="begin"/>
            </w:r>
            <w:r>
              <w:rPr>
                <w:noProof/>
                <w:webHidden/>
              </w:rPr>
              <w:instrText xml:space="preserve"> PAGEREF _Toc100667642 \h </w:instrText>
            </w:r>
            <w:r>
              <w:rPr>
                <w:noProof/>
                <w:webHidden/>
              </w:rPr>
            </w:r>
            <w:r>
              <w:rPr>
                <w:noProof/>
                <w:webHidden/>
              </w:rPr>
              <w:fldChar w:fldCharType="separate"/>
            </w:r>
            <w:r>
              <w:rPr>
                <w:noProof/>
                <w:webHidden/>
              </w:rPr>
              <w:t>5</w:t>
            </w:r>
            <w:r>
              <w:rPr>
                <w:noProof/>
                <w:webHidden/>
              </w:rPr>
              <w:fldChar w:fldCharType="end"/>
            </w:r>
          </w:hyperlink>
        </w:p>
        <w:p w14:paraId="70A4B584" w14:textId="75FA1791" w:rsidR="004B01C6" w:rsidRDefault="004B01C6">
          <w:pPr>
            <w:pStyle w:val="TOC1"/>
            <w:tabs>
              <w:tab w:val="left" w:pos="440"/>
              <w:tab w:val="right" w:leader="dot" w:pos="14674"/>
            </w:tabs>
            <w:rPr>
              <w:rFonts w:asciiTheme="minorHAnsi" w:eastAsiaTheme="minorEastAsia" w:hAnsiTheme="minorHAnsi"/>
              <w:noProof/>
              <w:lang w:eastAsia="lv-LV"/>
            </w:rPr>
          </w:pPr>
          <w:hyperlink w:anchor="_Toc100667643" w:history="1">
            <w:r w:rsidRPr="0066100F">
              <w:rPr>
                <w:rStyle w:val="Hyperlink"/>
                <w:noProof/>
              </w:rPr>
              <w:t>6.</w:t>
            </w:r>
            <w:r>
              <w:rPr>
                <w:rFonts w:asciiTheme="minorHAnsi" w:eastAsiaTheme="minorEastAsia" w:hAnsiTheme="minorHAnsi"/>
                <w:noProof/>
                <w:lang w:eastAsia="lv-LV"/>
              </w:rPr>
              <w:tab/>
            </w:r>
            <w:r w:rsidRPr="0066100F">
              <w:rPr>
                <w:rStyle w:val="Hyperlink"/>
                <w:noProof/>
              </w:rPr>
              <w:t>Personāls/Partneri</w:t>
            </w:r>
            <w:r>
              <w:rPr>
                <w:noProof/>
                <w:webHidden/>
              </w:rPr>
              <w:tab/>
            </w:r>
            <w:r>
              <w:rPr>
                <w:noProof/>
                <w:webHidden/>
              </w:rPr>
              <w:fldChar w:fldCharType="begin"/>
            </w:r>
            <w:r>
              <w:rPr>
                <w:noProof/>
                <w:webHidden/>
              </w:rPr>
              <w:instrText xml:space="preserve"> PAGEREF _Toc100667643 \h </w:instrText>
            </w:r>
            <w:r>
              <w:rPr>
                <w:noProof/>
                <w:webHidden/>
              </w:rPr>
            </w:r>
            <w:r>
              <w:rPr>
                <w:noProof/>
                <w:webHidden/>
              </w:rPr>
              <w:fldChar w:fldCharType="separate"/>
            </w:r>
            <w:r>
              <w:rPr>
                <w:noProof/>
                <w:webHidden/>
              </w:rPr>
              <w:t>6</w:t>
            </w:r>
            <w:r>
              <w:rPr>
                <w:noProof/>
                <w:webHidden/>
              </w:rPr>
              <w:fldChar w:fldCharType="end"/>
            </w:r>
          </w:hyperlink>
        </w:p>
        <w:p w14:paraId="79D48C99" w14:textId="01E347F7" w:rsidR="004B01C6" w:rsidRDefault="004B01C6">
          <w:pPr>
            <w:pStyle w:val="TOC1"/>
            <w:tabs>
              <w:tab w:val="left" w:pos="440"/>
              <w:tab w:val="right" w:leader="dot" w:pos="14674"/>
            </w:tabs>
            <w:rPr>
              <w:rFonts w:asciiTheme="minorHAnsi" w:eastAsiaTheme="minorEastAsia" w:hAnsiTheme="minorHAnsi"/>
              <w:noProof/>
              <w:lang w:eastAsia="lv-LV"/>
            </w:rPr>
          </w:pPr>
          <w:hyperlink w:anchor="_Toc100667644" w:history="1">
            <w:r w:rsidRPr="0066100F">
              <w:rPr>
                <w:rStyle w:val="Hyperlink"/>
                <w:noProof/>
              </w:rPr>
              <w:t>7.</w:t>
            </w:r>
            <w:r>
              <w:rPr>
                <w:rFonts w:asciiTheme="minorHAnsi" w:eastAsiaTheme="minorEastAsia" w:hAnsiTheme="minorHAnsi"/>
                <w:noProof/>
                <w:lang w:eastAsia="lv-LV"/>
              </w:rPr>
              <w:tab/>
            </w:r>
            <w:r w:rsidRPr="0066100F">
              <w:rPr>
                <w:rStyle w:val="Hyperlink"/>
                <w:noProof/>
              </w:rPr>
              <w:t>Projekta rezultātu uzturēšana un ilgtspējas nodrošināšana</w:t>
            </w:r>
            <w:r>
              <w:rPr>
                <w:noProof/>
                <w:webHidden/>
              </w:rPr>
              <w:tab/>
            </w:r>
            <w:r>
              <w:rPr>
                <w:noProof/>
                <w:webHidden/>
              </w:rPr>
              <w:fldChar w:fldCharType="begin"/>
            </w:r>
            <w:r>
              <w:rPr>
                <w:noProof/>
                <w:webHidden/>
              </w:rPr>
              <w:instrText xml:space="preserve"> PAGEREF _Toc100667644 \h </w:instrText>
            </w:r>
            <w:r>
              <w:rPr>
                <w:noProof/>
                <w:webHidden/>
              </w:rPr>
            </w:r>
            <w:r>
              <w:rPr>
                <w:noProof/>
                <w:webHidden/>
              </w:rPr>
              <w:fldChar w:fldCharType="separate"/>
            </w:r>
            <w:r>
              <w:rPr>
                <w:noProof/>
                <w:webHidden/>
              </w:rPr>
              <w:t>8</w:t>
            </w:r>
            <w:r>
              <w:rPr>
                <w:noProof/>
                <w:webHidden/>
              </w:rPr>
              <w:fldChar w:fldCharType="end"/>
            </w:r>
          </w:hyperlink>
        </w:p>
        <w:p w14:paraId="38D70770" w14:textId="6A22CF54" w:rsidR="005F3647" w:rsidRPr="00646DA8" w:rsidRDefault="005F3647">
          <w:r w:rsidRPr="00646DA8">
            <w:rPr>
              <w:b/>
              <w:bCs/>
            </w:rPr>
            <w:fldChar w:fldCharType="end"/>
          </w:r>
        </w:p>
      </w:sdtContent>
    </w:sdt>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10284"/>
      </w:tblGrid>
      <w:tr w:rsidR="005F3647" w:rsidRPr="00646DA8" w14:paraId="6519D286" w14:textId="77777777" w:rsidTr="006A05D9">
        <w:tc>
          <w:tcPr>
            <w:tcW w:w="1496" w:type="pct"/>
            <w:tcBorders>
              <w:bottom w:val="single" w:sz="4" w:space="0" w:color="000000"/>
              <w:right w:val="single" w:sz="4" w:space="0" w:color="auto"/>
            </w:tcBorders>
            <w:shd w:val="clear" w:color="auto" w:fill="A8D08D" w:themeFill="accent6" w:themeFillTint="99"/>
            <w:vAlign w:val="center"/>
          </w:tcPr>
          <w:p w14:paraId="666994A8" w14:textId="77777777" w:rsidR="005F3647" w:rsidRPr="008312A0" w:rsidRDefault="005F3647" w:rsidP="0078046B">
            <w:pPr>
              <w:ind w:left="17" w:right="17"/>
              <w:jc w:val="center"/>
              <w:rPr>
                <w:rFonts w:cs="Times New Roman"/>
                <w:b/>
                <w:sz w:val="24"/>
                <w:szCs w:val="24"/>
              </w:rPr>
            </w:pPr>
            <w:r w:rsidRPr="008312A0">
              <w:rPr>
                <w:rFonts w:cs="Times New Roman"/>
                <w:b/>
                <w:sz w:val="24"/>
                <w:szCs w:val="24"/>
              </w:rPr>
              <w:t>Jautājumi</w:t>
            </w:r>
          </w:p>
        </w:tc>
        <w:tc>
          <w:tcPr>
            <w:tcW w:w="3504" w:type="pct"/>
            <w:tcBorders>
              <w:left w:val="single" w:sz="4" w:space="0" w:color="auto"/>
              <w:bottom w:val="single" w:sz="4" w:space="0" w:color="000000"/>
            </w:tcBorders>
            <w:shd w:val="clear" w:color="auto" w:fill="A8D08D" w:themeFill="accent6" w:themeFillTint="99"/>
            <w:vAlign w:val="center"/>
          </w:tcPr>
          <w:p w14:paraId="7B78D1E9" w14:textId="77777777" w:rsidR="005F3647" w:rsidRPr="008312A0" w:rsidRDefault="005F3647" w:rsidP="0078046B">
            <w:pPr>
              <w:jc w:val="center"/>
              <w:rPr>
                <w:rFonts w:cs="Times New Roman"/>
                <w:b/>
                <w:sz w:val="24"/>
                <w:szCs w:val="24"/>
              </w:rPr>
            </w:pPr>
            <w:r w:rsidRPr="008312A0">
              <w:rPr>
                <w:rFonts w:cs="Times New Roman"/>
                <w:b/>
                <w:sz w:val="24"/>
                <w:szCs w:val="24"/>
              </w:rPr>
              <w:t>Atbildes</w:t>
            </w:r>
          </w:p>
        </w:tc>
      </w:tr>
      <w:tr w:rsidR="005F3647" w:rsidRPr="00646DA8" w14:paraId="7DD9DD03" w14:textId="77777777" w:rsidTr="0078046B">
        <w:tc>
          <w:tcPr>
            <w:tcW w:w="5000" w:type="pct"/>
            <w:gridSpan w:val="2"/>
            <w:tcBorders>
              <w:bottom w:val="single" w:sz="4" w:space="0" w:color="000000"/>
            </w:tcBorders>
            <w:shd w:val="clear" w:color="auto" w:fill="A8D08D" w:themeFill="accent6" w:themeFillTint="99"/>
            <w:vAlign w:val="center"/>
          </w:tcPr>
          <w:p w14:paraId="2AAE5AB0" w14:textId="2DAAF8C0" w:rsidR="005F3647" w:rsidRPr="008312A0" w:rsidRDefault="005F3647" w:rsidP="008312A0">
            <w:pPr>
              <w:pStyle w:val="Heading1"/>
              <w:numPr>
                <w:ilvl w:val="0"/>
                <w:numId w:val="21"/>
              </w:numPr>
              <w:rPr>
                <w:b w:val="0"/>
              </w:rPr>
            </w:pPr>
            <w:bookmarkStart w:id="0" w:name="_Toc20918679"/>
            <w:bookmarkStart w:id="1" w:name="_Toc46148086"/>
            <w:bookmarkStart w:id="2" w:name="_Toc100667638"/>
            <w:r w:rsidRPr="00646DA8">
              <w:t xml:space="preserve">Vispārīgi </w:t>
            </w:r>
            <w:r w:rsidRPr="00251C0D">
              <w:t>jautājumi</w:t>
            </w:r>
            <w:bookmarkEnd w:id="0"/>
            <w:bookmarkEnd w:id="1"/>
            <w:bookmarkEnd w:id="2"/>
          </w:p>
        </w:tc>
      </w:tr>
      <w:tr w:rsidR="006A05D9" w:rsidRPr="00646DA8" w14:paraId="5C386D4E" w14:textId="77777777" w:rsidTr="00CF0349">
        <w:trPr>
          <w:trHeight w:val="1566"/>
        </w:trPr>
        <w:tc>
          <w:tcPr>
            <w:tcW w:w="1496" w:type="pct"/>
            <w:tcBorders>
              <w:bottom w:val="single" w:sz="4" w:space="0" w:color="000000"/>
              <w:right w:val="single" w:sz="4" w:space="0" w:color="auto"/>
            </w:tcBorders>
            <w:shd w:val="clear" w:color="auto" w:fill="auto"/>
          </w:tcPr>
          <w:p w14:paraId="5FE2AA18" w14:textId="6CEAE9F7" w:rsidR="006A05D9" w:rsidRPr="00646DA8" w:rsidRDefault="006A05D9" w:rsidP="00CF0349">
            <w:pPr>
              <w:jc w:val="left"/>
            </w:pPr>
            <w:r w:rsidRPr="000E5219">
              <w:t xml:space="preserve">Lūdzu skaidrot (definēt) ko nozīmē adaptētā studiju satura un tehnoloģisko risinājumu </w:t>
            </w:r>
            <w:proofErr w:type="spellStart"/>
            <w:r w:rsidRPr="000E5219">
              <w:t>atvērtība</w:t>
            </w:r>
            <w:proofErr w:type="spellEnd"/>
            <w:r w:rsidRPr="000E5219">
              <w:t xml:space="preserve"> un koplietošana?</w:t>
            </w:r>
          </w:p>
        </w:tc>
        <w:tc>
          <w:tcPr>
            <w:tcW w:w="3504" w:type="pct"/>
            <w:tcBorders>
              <w:left w:val="single" w:sz="4" w:space="0" w:color="auto"/>
              <w:bottom w:val="single" w:sz="4" w:space="0" w:color="000000"/>
            </w:tcBorders>
            <w:shd w:val="clear" w:color="auto" w:fill="auto"/>
          </w:tcPr>
          <w:p w14:paraId="7C5EDA39" w14:textId="77777777" w:rsidR="006A05D9" w:rsidRPr="000B05BE" w:rsidRDefault="006A05D9" w:rsidP="000B05BE">
            <w:pPr>
              <w:rPr>
                <w:i/>
                <w:iCs/>
                <w:color w:val="0070C0"/>
              </w:rPr>
            </w:pPr>
            <w:r w:rsidRPr="000B05BE">
              <w:rPr>
                <w:i/>
                <w:iCs/>
                <w:color w:val="0070C0"/>
              </w:rPr>
              <w:t xml:space="preserve">Studiju satura un saistīto tehnoloģisko risinājumu </w:t>
            </w:r>
            <w:proofErr w:type="spellStart"/>
            <w:r w:rsidRPr="000B05BE">
              <w:rPr>
                <w:b/>
                <w:i/>
                <w:iCs/>
                <w:color w:val="0070C0"/>
              </w:rPr>
              <w:t>atvērtība</w:t>
            </w:r>
            <w:proofErr w:type="spellEnd"/>
            <w:r w:rsidRPr="000B05BE">
              <w:rPr>
                <w:i/>
                <w:iCs/>
                <w:color w:val="0070C0"/>
              </w:rPr>
              <w:t xml:space="preserve"> nozīmē to, ka projekta darbību rezultātā nerodas aizsargājams intelektuālais īpašums un </w:t>
            </w:r>
            <w:r w:rsidRPr="000B05BE">
              <w:rPr>
                <w:b/>
                <w:i/>
                <w:iCs/>
                <w:color w:val="0070C0"/>
              </w:rPr>
              <w:t>adaptēto saturu ir iespējams izmantot citiem interesentiem</w:t>
            </w:r>
            <w:r w:rsidRPr="000B05BE">
              <w:rPr>
                <w:i/>
                <w:iCs/>
                <w:color w:val="0070C0"/>
              </w:rPr>
              <w:t xml:space="preserve">, ja tas ir pamatoti un lietderīgi (atbilst adaptētā satura specifikai). </w:t>
            </w:r>
            <w:proofErr w:type="spellStart"/>
            <w:r w:rsidRPr="000B05BE">
              <w:rPr>
                <w:i/>
                <w:iCs/>
                <w:color w:val="0070C0"/>
              </w:rPr>
              <w:t>Atvērtību</w:t>
            </w:r>
            <w:proofErr w:type="spellEnd"/>
            <w:r w:rsidRPr="000B05BE">
              <w:rPr>
                <w:i/>
                <w:iCs/>
                <w:color w:val="0070C0"/>
              </w:rPr>
              <w:t xml:space="preserve"> var nodrošināt, izmantojot atvērtā koda risinājumu, vai citā veidā nosakot, cik daudz un kādā veidā projektā radītajam e-risinājumam var piekļūt citi interesenti, tai skaitā piedāvājot iespēju, piemēram, adaptēto studiju kursu apgūt citu augstskolu studējošajiem. </w:t>
            </w:r>
          </w:p>
          <w:p w14:paraId="5DE6A71B" w14:textId="77777777" w:rsidR="006A05D9" w:rsidRPr="000B05BE" w:rsidRDefault="006A05D9" w:rsidP="000B05BE">
            <w:pPr>
              <w:rPr>
                <w:i/>
                <w:iCs/>
                <w:color w:val="0070C0"/>
              </w:rPr>
            </w:pPr>
            <w:r w:rsidRPr="000B05BE">
              <w:rPr>
                <w:i/>
                <w:iCs/>
                <w:color w:val="0070C0"/>
              </w:rPr>
              <w:lastRenderedPageBreak/>
              <w:t>Atvērtie izglītības resursi ir jebkura formāta mācību un pētniecības resursi, kas atrodas publiskajā domēnā vai kuriem ir atvērtā licence, kas ļauj bezmaksas piekļuvi, izmantošanu, pielāgošanu un tālāk izplatīšanu bez vai ar nelieliem ierobežojumiem.</w:t>
            </w:r>
          </w:p>
          <w:p w14:paraId="74A58DF3" w14:textId="77777777" w:rsidR="006A05D9" w:rsidRPr="000B05BE" w:rsidRDefault="006A05D9" w:rsidP="000B05BE">
            <w:pPr>
              <w:rPr>
                <w:i/>
                <w:iCs/>
                <w:color w:val="0070C0"/>
              </w:rPr>
            </w:pPr>
            <w:r w:rsidRPr="000B05BE">
              <w:rPr>
                <w:b/>
                <w:i/>
                <w:iCs/>
                <w:color w:val="0070C0"/>
              </w:rPr>
              <w:t>Koplietošana</w:t>
            </w:r>
            <w:r w:rsidRPr="000B05BE">
              <w:rPr>
                <w:i/>
                <w:iCs/>
                <w:color w:val="0070C0"/>
              </w:rPr>
              <w:t xml:space="preserve"> nozīmē – projekta iesniedzējs un sadarbības partneri kopīgi izmanto, piemēram, virtuālo laboratoriju, tehniski nodrošinot šādas iespējas pieslēgties visiem partneriem. E-risinājuma koplietošana primāri ir jānodrošina sadarbības partneriem, vienlaikus var paredzēt piekļuves iespējas arī citiem interesentiem (uz saprātīgiem nosacījumiem un adekvātu samaksu).</w:t>
            </w:r>
          </w:p>
          <w:p w14:paraId="15A45408" w14:textId="4F90C94C" w:rsidR="006A05D9" w:rsidRPr="000B05BE" w:rsidRDefault="006A05D9" w:rsidP="000B05BE">
            <w:pPr>
              <w:rPr>
                <w:i/>
                <w:iCs/>
                <w:color w:val="0070C0"/>
              </w:rPr>
            </w:pPr>
            <w:r w:rsidRPr="000B05BE">
              <w:rPr>
                <w:i/>
                <w:iCs/>
                <w:color w:val="0070C0"/>
              </w:rPr>
              <w:t>Augstskolas savstarpēji vienojas par nosacījumiem un savstarpējiem norēķiniem koplietošanas risinājumu izmantošanā.</w:t>
            </w:r>
          </w:p>
        </w:tc>
      </w:tr>
      <w:tr w:rsidR="006A05D9" w:rsidRPr="00646DA8" w14:paraId="42210F94" w14:textId="77777777" w:rsidTr="00CF0349">
        <w:trPr>
          <w:trHeight w:val="557"/>
        </w:trPr>
        <w:tc>
          <w:tcPr>
            <w:tcW w:w="1496" w:type="pct"/>
            <w:tcBorders>
              <w:bottom w:val="single" w:sz="4" w:space="0" w:color="000000"/>
              <w:right w:val="single" w:sz="4" w:space="0" w:color="auto"/>
            </w:tcBorders>
            <w:shd w:val="clear" w:color="auto" w:fill="auto"/>
          </w:tcPr>
          <w:p w14:paraId="4A0FE348" w14:textId="77777777" w:rsidR="006A05D9" w:rsidRDefault="006A05D9" w:rsidP="00CF0349">
            <w:pPr>
              <w:jc w:val="left"/>
            </w:pPr>
            <w:r>
              <w:lastRenderedPageBreak/>
              <w:t xml:space="preserve">Vai </w:t>
            </w:r>
            <w:r w:rsidRPr="00E74219">
              <w:t xml:space="preserve">projekta ietvaros sagatavotais materiāls un tehnoloģiskie risinājumi ir jānodrošina jebkuram (ne tikai projekta partnera augstskolā studējošā) interesentam? </w:t>
            </w:r>
          </w:p>
          <w:p w14:paraId="42E08408" w14:textId="4481FE91" w:rsidR="006A05D9" w:rsidRPr="000E5219" w:rsidRDefault="006A05D9" w:rsidP="00CF0349">
            <w:pPr>
              <w:jc w:val="left"/>
            </w:pPr>
            <w:r w:rsidRPr="00E74219">
              <w:t>Lūdzu skaidrot, kā plānota loģistika starp projektiem, ja tiek prasīta nepārklāšanās tēmās. Kredītpunkta izmaksas dažādām programmām un augstskolā, tai skaitā privātajām?</w:t>
            </w:r>
          </w:p>
        </w:tc>
        <w:tc>
          <w:tcPr>
            <w:tcW w:w="3504" w:type="pct"/>
            <w:tcBorders>
              <w:left w:val="single" w:sz="4" w:space="0" w:color="auto"/>
              <w:bottom w:val="single" w:sz="4" w:space="0" w:color="000000"/>
            </w:tcBorders>
            <w:shd w:val="clear" w:color="auto" w:fill="auto"/>
          </w:tcPr>
          <w:p w14:paraId="32F6C543" w14:textId="0635EFB7" w:rsidR="006A05D9" w:rsidRPr="00C6343E" w:rsidRDefault="006A05D9" w:rsidP="00E74219">
            <w:pPr>
              <w:rPr>
                <w:i/>
                <w:iCs/>
                <w:color w:val="0070C0"/>
              </w:rPr>
            </w:pPr>
            <w:r w:rsidRPr="00C6343E">
              <w:rPr>
                <w:i/>
                <w:iCs/>
                <w:color w:val="0070C0"/>
              </w:rPr>
              <w:t xml:space="preserve">Projekta iesnieguma vērtēšanas kritērijs Nr. 2.3.4. nenosaka, ka projekta ietvaros sagatavotais materiāls un tehnoloģiskie risinājumi ir jānodrošina jebkuram interesentam. </w:t>
            </w:r>
            <w:r w:rsidRPr="00C6343E">
              <w:rPr>
                <w:b/>
                <w:i/>
                <w:iCs/>
                <w:color w:val="0070C0"/>
              </w:rPr>
              <w:t>Projekta iesniedzējam ir jāizvērtē</w:t>
            </w:r>
            <w:r w:rsidRPr="00C6343E">
              <w:rPr>
                <w:i/>
                <w:iCs/>
                <w:color w:val="0070C0"/>
              </w:rPr>
              <w:t xml:space="preserve">, kurus risinājumus ir lietderīgi un ir iespējams piedāvāt bez ierobežojumiem ikvienam interesantam, kurus ierobežotam interesentu lokam un uz kādiem nosacījumiem (piemēram, nosakot pieejas tiesības), un kurus risinājumus ir lietderīgi, jēgpilni un pamatoti izmantot tikai projekta iesniedzēja un sadarbības partnera institūcijās (piemēram gadījumos, kad adaptētais saturs attiecas uz specifisku jomu, kas ir saistoša tikai noteiktas specializācijas jomas studējošajiem. Nav pieļaujams, ka, piemēram, projektā sagatavotajam studiju modulim/kursam nav iespējas piekļūt un to izmantot kādai citai augstskolai, kurai tas būtu ļoti aktuāls (ja tā ir gatava segt attiecīgas izmaksas). </w:t>
            </w:r>
          </w:p>
          <w:p w14:paraId="3A35EF10" w14:textId="629E3DA8" w:rsidR="006A05D9" w:rsidRPr="00C6343E" w:rsidRDefault="006A05D9" w:rsidP="00C6343E">
            <w:pPr>
              <w:rPr>
                <w:i/>
                <w:iCs/>
                <w:color w:val="0070C0"/>
              </w:rPr>
            </w:pPr>
            <w:r w:rsidRPr="00C6343E">
              <w:rPr>
                <w:i/>
                <w:iCs/>
                <w:color w:val="0070C0"/>
              </w:rPr>
              <w:t>Viens no veidiem, kā nodrošināt pieejamību projekta ietvaros radītajam studiju kursam/modulim, ir piedāvāt iespēju to apgūt citu augstskolu studējošajiem. Šādā gadījumā samaksu par studiju kursa vai moduļa apgūšanu (piemēram, citā augstskolā apgūstot B vai C daļas izvēles digitālas specializācijas studiju kursus) nosaka atbilstoši attiecīgās augstskolas noteiktajai maksai par kredītpunktu augstskolu savstarpējo norēķinu ietvaros, neparedzot par to papildu samaksu.</w:t>
            </w:r>
          </w:p>
        </w:tc>
      </w:tr>
      <w:tr w:rsidR="006A05D9" w:rsidRPr="00646DA8" w14:paraId="598C98DE" w14:textId="77777777" w:rsidTr="006A05D9">
        <w:trPr>
          <w:trHeight w:val="1566"/>
        </w:trPr>
        <w:tc>
          <w:tcPr>
            <w:tcW w:w="1496" w:type="pct"/>
            <w:tcBorders>
              <w:bottom w:val="single" w:sz="4" w:space="0" w:color="000000"/>
              <w:right w:val="single" w:sz="4" w:space="0" w:color="auto"/>
            </w:tcBorders>
            <w:shd w:val="clear" w:color="auto" w:fill="auto"/>
            <w:vAlign w:val="center"/>
          </w:tcPr>
          <w:p w14:paraId="732CD1B4" w14:textId="62DC1DC5" w:rsidR="006A05D9" w:rsidRDefault="00484EFB" w:rsidP="00076B33">
            <w:r w:rsidRPr="00484EFB">
              <w:t xml:space="preserve">2021. gada pavasarī COVID19 programmas projekta  ARTSS (Perspektīvās tehnoloģijas noturīgiem un drošiem servisiem VPP-COVID-2020/1-0009) RTU, </w:t>
            </w:r>
            <w:proofErr w:type="spellStart"/>
            <w:r w:rsidRPr="00484EFB">
              <w:t>ViA</w:t>
            </w:r>
            <w:proofErr w:type="spellEnd"/>
            <w:r w:rsidRPr="00484EFB">
              <w:t xml:space="preserve">, un </w:t>
            </w:r>
            <w:proofErr w:type="spellStart"/>
            <w:r w:rsidRPr="00484EFB">
              <w:t>LiepU</w:t>
            </w:r>
            <w:proofErr w:type="spellEnd"/>
            <w:r w:rsidRPr="00484EFB">
              <w:t xml:space="preserve"> sagatavoja ziņojumu ""Priekšlikumi mācīšanās analītikas monitoringam augstākajā izglītībā"". Vai 14.1.1.1 projektu konkurss ietver mācību analītiku, vai arī mācīšanās analītika būs ietverta citā projektu konkursā?</w:t>
            </w:r>
          </w:p>
        </w:tc>
        <w:tc>
          <w:tcPr>
            <w:tcW w:w="3504" w:type="pct"/>
            <w:tcBorders>
              <w:left w:val="single" w:sz="4" w:space="0" w:color="auto"/>
              <w:bottom w:val="single" w:sz="4" w:space="0" w:color="000000"/>
            </w:tcBorders>
            <w:shd w:val="clear" w:color="auto" w:fill="auto"/>
          </w:tcPr>
          <w:p w14:paraId="1975DC2E" w14:textId="08C51936" w:rsidR="006A05D9" w:rsidRPr="00484EFB" w:rsidRDefault="00484EFB" w:rsidP="00E74219">
            <w:pPr>
              <w:rPr>
                <w:i/>
                <w:iCs/>
                <w:color w:val="0070C0"/>
              </w:rPr>
            </w:pPr>
            <w:r>
              <w:rPr>
                <w:i/>
                <w:iCs/>
                <w:color w:val="0070C0"/>
              </w:rPr>
              <w:t>M</w:t>
            </w:r>
            <w:r w:rsidRPr="00484EFB">
              <w:rPr>
                <w:i/>
                <w:iCs/>
                <w:color w:val="0070C0"/>
              </w:rPr>
              <w:t>ācību analītikas risinājumu ieviešana ir atbalstāma saskaņā ar MKN 18.4.p. “mācību procesa datu ieguves un analīzes risinājumu (</w:t>
            </w:r>
            <w:proofErr w:type="spellStart"/>
            <w:r w:rsidRPr="00484EFB">
              <w:rPr>
                <w:i/>
                <w:iCs/>
                <w:color w:val="0070C0"/>
              </w:rPr>
              <w:t>learning</w:t>
            </w:r>
            <w:proofErr w:type="spellEnd"/>
            <w:r w:rsidRPr="00484EFB">
              <w:rPr>
                <w:i/>
                <w:iCs/>
                <w:color w:val="0070C0"/>
              </w:rPr>
              <w:t xml:space="preserve"> </w:t>
            </w:r>
            <w:proofErr w:type="spellStart"/>
            <w:r w:rsidRPr="00484EFB">
              <w:rPr>
                <w:i/>
                <w:iCs/>
                <w:color w:val="0070C0"/>
              </w:rPr>
              <w:t>analytics</w:t>
            </w:r>
            <w:proofErr w:type="spellEnd"/>
            <w:r w:rsidRPr="00484EFB">
              <w:rPr>
                <w:i/>
                <w:iCs/>
                <w:color w:val="0070C0"/>
              </w:rPr>
              <w:t>) ieviešana, tai skaitā pielāgošana un modernizēšana</w:t>
            </w:r>
          </w:p>
        </w:tc>
      </w:tr>
      <w:tr w:rsidR="006A05D9" w:rsidRPr="00646DA8" w14:paraId="27E4E574" w14:textId="77777777" w:rsidTr="00CF0349">
        <w:trPr>
          <w:trHeight w:val="1147"/>
        </w:trPr>
        <w:tc>
          <w:tcPr>
            <w:tcW w:w="1496" w:type="pct"/>
            <w:tcBorders>
              <w:bottom w:val="single" w:sz="4" w:space="0" w:color="000000"/>
              <w:right w:val="single" w:sz="4" w:space="0" w:color="auto"/>
            </w:tcBorders>
            <w:shd w:val="clear" w:color="auto" w:fill="auto"/>
            <w:vAlign w:val="center"/>
          </w:tcPr>
          <w:p w14:paraId="7FCEBBEC" w14:textId="16E480B7" w:rsidR="006A05D9" w:rsidRDefault="00CF0349" w:rsidP="00CF0349">
            <w:pPr>
              <w:spacing w:before="0" w:after="160" w:line="259" w:lineRule="auto"/>
              <w:contextualSpacing/>
            </w:pPr>
            <w:r w:rsidRPr="00CF0349">
              <w:t xml:space="preserve">Vai būtu atbalstāma, piem., </w:t>
            </w:r>
            <w:proofErr w:type="spellStart"/>
            <w:r w:rsidRPr="00CF0349">
              <w:t>Bloomberg</w:t>
            </w:r>
            <w:proofErr w:type="spellEnd"/>
            <w:r w:rsidRPr="00CF0349">
              <w:t xml:space="preserve"> </w:t>
            </w:r>
            <w:proofErr w:type="spellStart"/>
            <w:r w:rsidRPr="00CF0349">
              <w:t>Lab</w:t>
            </w:r>
            <w:proofErr w:type="spellEnd"/>
            <w:r w:rsidRPr="00CF0349">
              <w:t xml:space="preserve"> izveide abonējot piekļuves datiem, datu analīzes rīkiem </w:t>
            </w:r>
            <w:proofErr w:type="spellStart"/>
            <w:r w:rsidRPr="00CF0349">
              <w:t>utml</w:t>
            </w:r>
            <w:proofErr w:type="spellEnd"/>
            <w:r w:rsidRPr="00CF0349">
              <w:t xml:space="preserve">. </w:t>
            </w:r>
          </w:p>
        </w:tc>
        <w:tc>
          <w:tcPr>
            <w:tcW w:w="3504" w:type="pct"/>
            <w:tcBorders>
              <w:left w:val="single" w:sz="4" w:space="0" w:color="auto"/>
              <w:bottom w:val="single" w:sz="4" w:space="0" w:color="000000"/>
            </w:tcBorders>
            <w:shd w:val="clear" w:color="auto" w:fill="auto"/>
          </w:tcPr>
          <w:p w14:paraId="390C4CA3" w14:textId="4ABB691A" w:rsidR="006A05D9" w:rsidRPr="00CF0349" w:rsidRDefault="00CF0349" w:rsidP="00E74219">
            <w:pPr>
              <w:rPr>
                <w:i/>
                <w:iCs/>
                <w:color w:val="0070C0"/>
              </w:rPr>
            </w:pPr>
            <w:r w:rsidRPr="00CF0349">
              <w:rPr>
                <w:i/>
                <w:iCs/>
                <w:color w:val="0070C0"/>
              </w:rPr>
              <w:t>Abonements datu pieejamībai, datu analīzes rīkiem u.tml., ir atbalstāms, ja tas ir saistīts ar konkrētiem projektā pārņemamiem digitālajiem risinājumiem. Tikai abonements – nē.</w:t>
            </w:r>
          </w:p>
        </w:tc>
      </w:tr>
      <w:tr w:rsidR="006A05D9" w:rsidRPr="00646DA8" w14:paraId="68BDBD17" w14:textId="77777777" w:rsidTr="006A05D9">
        <w:trPr>
          <w:trHeight w:val="1566"/>
        </w:trPr>
        <w:tc>
          <w:tcPr>
            <w:tcW w:w="1496" w:type="pct"/>
            <w:tcBorders>
              <w:bottom w:val="single" w:sz="4" w:space="0" w:color="000000"/>
              <w:right w:val="single" w:sz="4" w:space="0" w:color="auto"/>
            </w:tcBorders>
            <w:shd w:val="clear" w:color="auto" w:fill="auto"/>
            <w:vAlign w:val="center"/>
          </w:tcPr>
          <w:p w14:paraId="7F5C106C" w14:textId="02F2B540" w:rsidR="006A05D9" w:rsidRPr="00DF37D7" w:rsidRDefault="006A05D9" w:rsidP="00E74219">
            <w:pPr>
              <w:spacing w:before="0" w:after="160" w:line="259" w:lineRule="auto"/>
            </w:pPr>
            <w:r>
              <w:lastRenderedPageBreak/>
              <w:t>K</w:t>
            </w:r>
            <w:r w:rsidRPr="00DF37D7">
              <w:t>ā atklāta projektu atlases konkursa ietvaros var notikt projekta satura saskaņošana starp citu projektu partneriem, lai nodrošinātu satura nepārklāšanos? Kāda būs loģistika un tehnoloģiskie risinājumi starp projektiem realizācijas laikā un ilgtspējas laikā?</w:t>
            </w:r>
          </w:p>
          <w:p w14:paraId="514CCDF9" w14:textId="004157C1" w:rsidR="006A05D9" w:rsidRDefault="006A05D9" w:rsidP="00076B33">
            <w:r w:rsidRPr="00E74219">
              <w:t>Lūdzu skaidrot, kā plānota loģistika starp projektiem, ja tiek prasīta nepārklāšanās tēmās. Kredītpunkta izmaksas dažādām programmām un augstskolā, tai skaitā privātajām?</w:t>
            </w:r>
          </w:p>
        </w:tc>
        <w:tc>
          <w:tcPr>
            <w:tcW w:w="3504" w:type="pct"/>
            <w:tcBorders>
              <w:left w:val="single" w:sz="4" w:space="0" w:color="auto"/>
              <w:bottom w:val="single" w:sz="4" w:space="0" w:color="000000"/>
            </w:tcBorders>
            <w:shd w:val="clear" w:color="auto" w:fill="auto"/>
          </w:tcPr>
          <w:p w14:paraId="60150A8E" w14:textId="77777777" w:rsidR="006A05D9" w:rsidRPr="00EE377E" w:rsidRDefault="006A05D9" w:rsidP="00855EC0">
            <w:pPr>
              <w:rPr>
                <w:i/>
                <w:iCs/>
                <w:color w:val="0070C0"/>
              </w:rPr>
            </w:pPr>
            <w:r w:rsidRPr="00EE377E">
              <w:rPr>
                <w:i/>
                <w:iCs/>
                <w:color w:val="0070C0"/>
              </w:rPr>
              <w:t xml:space="preserve">Skaidrojam, ka projekta iesniegumā ir jānorāda, vai projekta iesniedzējs (augstskola A) un sadarbības partneri (augstskolas B un C) plāno iesaistīties citos šī pasākuma projektos un, ja tas tā ir, tad </w:t>
            </w:r>
            <w:r w:rsidRPr="00EE377E">
              <w:rPr>
                <w:b/>
                <w:i/>
                <w:iCs/>
                <w:color w:val="0070C0"/>
              </w:rPr>
              <w:t xml:space="preserve">ir jāsniedz informācija par katru augstskolu (A, B un C), norādot, kāda ir šo augstskolu  citos projektos plānoto darbību tematiskā ievirze, </w:t>
            </w:r>
            <w:r w:rsidRPr="00EE377E">
              <w:rPr>
                <w:i/>
                <w:iCs/>
                <w:color w:val="0070C0"/>
              </w:rPr>
              <w:t xml:space="preserve">lai gūtu pārliecību, ka tās saturiski nepārklāsies. Šāds mehānisms nodrošinās, ka ikviena augstskola vairākos projektos saturiski nedarīs vienu un to pašu un </w:t>
            </w:r>
            <w:r w:rsidRPr="00EE377E">
              <w:rPr>
                <w:b/>
                <w:i/>
                <w:iCs/>
                <w:color w:val="0070C0"/>
              </w:rPr>
              <w:t>projekti nebūs savstarpēji saistīti</w:t>
            </w:r>
            <w:r w:rsidRPr="00EE377E">
              <w:rPr>
                <w:i/>
                <w:iCs/>
                <w:color w:val="0070C0"/>
              </w:rPr>
              <w:t xml:space="preserve"> (lai mazinātu risku, ka viena projekta iesnieguma neapstiprināšanas gadījumā tiktu apdraudēta cita projekta īstenošana).</w:t>
            </w:r>
          </w:p>
          <w:p w14:paraId="0A86998F" w14:textId="2242D3B0" w:rsidR="006A05D9" w:rsidRPr="00EE377E" w:rsidRDefault="006A05D9" w:rsidP="00855EC0">
            <w:pPr>
              <w:rPr>
                <w:i/>
                <w:iCs/>
                <w:color w:val="0070C0"/>
              </w:rPr>
            </w:pPr>
            <w:r w:rsidRPr="00EE377E">
              <w:rPr>
                <w:i/>
                <w:iCs/>
                <w:color w:val="0070C0"/>
              </w:rPr>
              <w:t>Attiecībā uz loģistiku un tehnoloģiskajiem risinājumiem starp projektiem realizācijas laikā un ilgtspējas laikā, tas ir projekta iesniedzēja un sadarbības partneru kompetences jautājums.</w:t>
            </w:r>
          </w:p>
        </w:tc>
      </w:tr>
      <w:tr w:rsidR="005F3647" w:rsidRPr="00646DA8" w14:paraId="7ACB003C" w14:textId="77777777" w:rsidTr="0078046B">
        <w:tc>
          <w:tcPr>
            <w:tcW w:w="5000" w:type="pct"/>
            <w:gridSpan w:val="2"/>
            <w:tcBorders>
              <w:bottom w:val="single" w:sz="4" w:space="0" w:color="000000"/>
            </w:tcBorders>
            <w:shd w:val="clear" w:color="auto" w:fill="A8D08D" w:themeFill="accent6" w:themeFillTint="99"/>
            <w:vAlign w:val="center"/>
          </w:tcPr>
          <w:p w14:paraId="5A7FFAF2" w14:textId="7F7E58E7" w:rsidR="005F3647" w:rsidRPr="00251C0D" w:rsidRDefault="005F3647" w:rsidP="00251C0D">
            <w:pPr>
              <w:pStyle w:val="Heading1"/>
            </w:pPr>
            <w:bookmarkStart w:id="3" w:name="_Toc20918681"/>
            <w:bookmarkStart w:id="4" w:name="_Toc46148087"/>
            <w:bookmarkStart w:id="5" w:name="_Toc100667639"/>
            <w:r w:rsidRPr="00646DA8">
              <w:t>Īstenošanas nosacījumi</w:t>
            </w:r>
            <w:bookmarkEnd w:id="3"/>
            <w:bookmarkEnd w:id="4"/>
            <w:bookmarkEnd w:id="5"/>
          </w:p>
        </w:tc>
      </w:tr>
      <w:tr w:rsidR="006A05D9" w:rsidRPr="00646DA8" w14:paraId="04127D21" w14:textId="77777777" w:rsidTr="00CF0349">
        <w:tc>
          <w:tcPr>
            <w:tcW w:w="1496" w:type="pct"/>
            <w:shd w:val="clear" w:color="auto" w:fill="auto"/>
          </w:tcPr>
          <w:p w14:paraId="1759E699" w14:textId="3E8FDE17" w:rsidR="006A05D9" w:rsidRPr="00646DA8" w:rsidRDefault="006A05D9" w:rsidP="00CF0349">
            <w:pPr>
              <w:shd w:val="clear" w:color="auto" w:fill="FFFFFF"/>
              <w:spacing w:line="300" w:lineRule="atLeast"/>
              <w:jc w:val="left"/>
              <w:rPr>
                <w:rFonts w:eastAsia="Times New Roman" w:cs="Times New Roman"/>
                <w:lang w:eastAsia="lv-LV"/>
              </w:rPr>
            </w:pPr>
            <w:r w:rsidRPr="00646DA8">
              <w:t>Kādiem mērķiem var iesaistīt papildus sadarbības partnerus?</w:t>
            </w:r>
          </w:p>
        </w:tc>
        <w:tc>
          <w:tcPr>
            <w:tcW w:w="3504" w:type="pct"/>
            <w:shd w:val="clear" w:color="auto" w:fill="auto"/>
          </w:tcPr>
          <w:p w14:paraId="3047F844" w14:textId="77777777" w:rsidR="006A05D9" w:rsidRPr="00646DA8" w:rsidRDefault="006A05D9" w:rsidP="00F15A74">
            <w:pPr>
              <w:pStyle w:val="PlainText"/>
              <w:rPr>
                <w:rFonts w:ascii="Times New Roman" w:hAnsi="Times New Roman" w:cs="Times New Roman"/>
                <w:i/>
                <w:iCs/>
                <w:color w:val="0070C0"/>
                <w:lang w:val="lv-LV"/>
              </w:rPr>
            </w:pPr>
            <w:r w:rsidRPr="00646DA8">
              <w:rPr>
                <w:rFonts w:ascii="Times New Roman" w:hAnsi="Times New Roman" w:cs="Times New Roman"/>
                <w:i/>
                <w:iCs/>
                <w:color w:val="0070C0"/>
                <w:lang w:val="lv-LV"/>
              </w:rPr>
              <w:t>Paredzēts, ka papildus sadarbības partneri – zinātniskas institūciju, publiskas vai privātas organizācijas, ārvalstu augstskolas, Latvijas augstskolas ‒ projektos iesaistīsies ar to cilvēkresursiem (ekspertīzi, zināšanām) kā projekta īstenošanas personālu, personālam sedzot faktiskās nepieciešamās izmaksas, kas būs pamatotas un pierādāmas, piemēram, atlīdzības izmaksas atbilstoši tirgus līmenim, komandējumu un darba braucienu izmaksas. Līdz ar to sadarbības partneriem – uzņēmumiem, zinātniskajām institūcijām, citām publiskajām vai privātajām organizācijām – netiek radītas ekonomiskās priekšrocības, un attiecīgi to līmenī netiek konstatēta komercdarbības atbalsta sniegšana</w:t>
            </w:r>
          </w:p>
          <w:p w14:paraId="306A963D" w14:textId="540C0F5C" w:rsidR="006A05D9" w:rsidRPr="00646DA8" w:rsidRDefault="006A05D9" w:rsidP="00F15A74">
            <w:pPr>
              <w:rPr>
                <w:rFonts w:cs="Times New Roman"/>
                <w:b/>
                <w:bCs/>
                <w:i/>
                <w:color w:val="0070C0"/>
                <w:lang w:eastAsia="lv-LV"/>
              </w:rPr>
            </w:pPr>
            <w:r w:rsidRPr="00646DA8">
              <w:rPr>
                <w:rFonts w:cs="Times New Roman"/>
                <w:i/>
                <w:iCs/>
                <w:color w:val="0070C0"/>
              </w:rPr>
              <w:t xml:space="preserve">Attiecībā uz digitālo risinājumu </w:t>
            </w:r>
            <w:proofErr w:type="spellStart"/>
            <w:r w:rsidRPr="00646DA8">
              <w:rPr>
                <w:rFonts w:cs="Times New Roman"/>
                <w:i/>
                <w:iCs/>
                <w:color w:val="0070C0"/>
              </w:rPr>
              <w:t>pārņemšamu</w:t>
            </w:r>
            <w:proofErr w:type="spellEnd"/>
            <w:r w:rsidRPr="00646DA8">
              <w:rPr>
                <w:rFonts w:cs="Times New Roman"/>
                <w:i/>
                <w:iCs/>
                <w:color w:val="0070C0"/>
              </w:rPr>
              <w:t xml:space="preserve"> (nopirkšanu), sadarbības partneri nevar iesaistīt tikai tāpēc, lai no tā tikai nopirktu digitālo risinājumu (finansējuma saņēmējam ar sadarbības partneri nevar rasties tādas tiesiskās attiecības, no kurām izrietētu, ka šis darījums atbilst publiska iepirkuma līguma pazīmēm).  </w:t>
            </w:r>
          </w:p>
        </w:tc>
      </w:tr>
      <w:tr w:rsidR="006A05D9" w:rsidRPr="00646DA8" w14:paraId="1C5CC42F" w14:textId="77777777" w:rsidTr="00CF0349">
        <w:tc>
          <w:tcPr>
            <w:tcW w:w="1496" w:type="pct"/>
            <w:shd w:val="clear" w:color="auto" w:fill="auto"/>
          </w:tcPr>
          <w:p w14:paraId="39BA3B6D" w14:textId="5B5F0124" w:rsidR="006A05D9" w:rsidRPr="00AE6FF2" w:rsidRDefault="006A05D9" w:rsidP="00CF0349">
            <w:pPr>
              <w:shd w:val="clear" w:color="auto" w:fill="FFFFFF"/>
              <w:spacing w:line="300" w:lineRule="atLeast"/>
              <w:jc w:val="left"/>
              <w:rPr>
                <w:rFonts w:cs="Times New Roman"/>
              </w:rPr>
            </w:pPr>
            <w:r w:rsidRPr="00AE6FF2">
              <w:rPr>
                <w:rFonts w:cs="Times New Roman"/>
              </w:rPr>
              <w:t>Kāda ir sadarbības partneru loma un loģika projektā, ja koplietošana saprotama plašākā mērogā, t.i., starp projektiem?</w:t>
            </w:r>
          </w:p>
        </w:tc>
        <w:tc>
          <w:tcPr>
            <w:tcW w:w="3504" w:type="pct"/>
            <w:shd w:val="clear" w:color="auto" w:fill="auto"/>
          </w:tcPr>
          <w:p w14:paraId="49F1AEEC" w14:textId="48E01AF2" w:rsidR="006A05D9" w:rsidRPr="00AE6FF2" w:rsidRDefault="006A05D9" w:rsidP="00AE6FF2">
            <w:pPr>
              <w:rPr>
                <w:rFonts w:cs="Times New Roman"/>
                <w:i/>
                <w:iCs/>
                <w:color w:val="0070C0"/>
              </w:rPr>
            </w:pPr>
            <w:r w:rsidRPr="00AE6FF2">
              <w:rPr>
                <w:rFonts w:cs="Times New Roman"/>
                <w:i/>
                <w:iCs/>
                <w:color w:val="0070C0"/>
              </w:rPr>
              <w:t xml:space="preserve">Partnerība projektā dos iespēju apvienot savus spēkus, labākās idejas un intelektuālo potenciālu no vairākām augstskolām un citām institūcijām, bagātinot projektu ar savu pieredzi, kompetenci, kā arī koncentrēt resursus, nodrošinot nepieciešamo jaudu un izveidojot tādu komandu, kas veiksmīgi ieviesīs projektā plānotās digitalizācijas iniciatīvas. </w:t>
            </w:r>
          </w:p>
          <w:p w14:paraId="388689AF" w14:textId="57D07D9B" w:rsidR="006A05D9" w:rsidRPr="00AE6FF2" w:rsidRDefault="006A05D9" w:rsidP="00AE6FF2">
            <w:pPr>
              <w:pStyle w:val="PlainText"/>
              <w:rPr>
                <w:rFonts w:ascii="Times New Roman" w:hAnsi="Times New Roman" w:cs="Times New Roman"/>
                <w:i/>
                <w:iCs/>
                <w:color w:val="0070C0"/>
                <w:lang w:val="lv-LV"/>
              </w:rPr>
            </w:pPr>
            <w:r w:rsidRPr="00AE6FF2">
              <w:rPr>
                <w:rFonts w:ascii="Times New Roman" w:hAnsi="Times New Roman" w:cs="Times New Roman"/>
                <w:i/>
                <w:iCs/>
                <w:color w:val="0070C0"/>
                <w:lang w:val="lv-LV"/>
              </w:rPr>
              <w:t>Partneru – augstskolu priekšrocība (ieguvums no dalības konkrētajā projektā) var izpausties gan tajā aspektā, ka tās tiešā veidā iesaistās projekta darbību īstenošanā, kas primāri ir vērstas tieši uz šo augstskolu vajadzībām, kā arī tajā apstāklī, ka partneris no projekta var finansēt ar koplietošanas risinājumu ieviešanu saistītās izmaksas, tai skaitā tehniskā aprīkojuma iegādi, licences, datu centru jaudas palielināšanu.</w:t>
            </w:r>
          </w:p>
        </w:tc>
      </w:tr>
      <w:tr w:rsidR="00F15A74" w:rsidRPr="00646DA8" w14:paraId="5E669557" w14:textId="77777777" w:rsidTr="0078046B">
        <w:tc>
          <w:tcPr>
            <w:tcW w:w="5000" w:type="pct"/>
            <w:gridSpan w:val="2"/>
            <w:shd w:val="clear" w:color="auto" w:fill="A8D08D" w:themeFill="accent6" w:themeFillTint="99"/>
            <w:vAlign w:val="center"/>
          </w:tcPr>
          <w:p w14:paraId="13B6945E" w14:textId="5596CF44" w:rsidR="00F15A74" w:rsidRPr="00646DA8" w:rsidRDefault="00F15A74" w:rsidP="00251C0D">
            <w:pPr>
              <w:pStyle w:val="Heading1"/>
            </w:pPr>
            <w:bookmarkStart w:id="6" w:name="_Toc20918685"/>
            <w:bookmarkStart w:id="7" w:name="_Toc46148091"/>
            <w:bookmarkStart w:id="8" w:name="_Toc100667640"/>
            <w:r w:rsidRPr="00646DA8">
              <w:t>Vērtēšana</w:t>
            </w:r>
            <w:bookmarkEnd w:id="6"/>
            <w:bookmarkEnd w:id="7"/>
            <w:r w:rsidR="00CF0349">
              <w:t xml:space="preserve">/ Lēmumu </w:t>
            </w:r>
            <w:r w:rsidR="00CF0349" w:rsidRPr="00251C0D">
              <w:t>pieņemšana</w:t>
            </w:r>
            <w:bookmarkEnd w:id="8"/>
          </w:p>
        </w:tc>
      </w:tr>
      <w:tr w:rsidR="006A05D9" w:rsidRPr="00646DA8" w14:paraId="44127B68" w14:textId="77777777" w:rsidTr="00CF0349">
        <w:tc>
          <w:tcPr>
            <w:tcW w:w="1496" w:type="pct"/>
            <w:tcBorders>
              <w:bottom w:val="single" w:sz="4" w:space="0" w:color="000000"/>
            </w:tcBorders>
            <w:shd w:val="clear" w:color="auto" w:fill="auto"/>
          </w:tcPr>
          <w:p w14:paraId="5556B66C" w14:textId="17062E69" w:rsidR="006A05D9" w:rsidRPr="00646DA8" w:rsidRDefault="00CF0349" w:rsidP="00CF0349">
            <w:pPr>
              <w:shd w:val="clear" w:color="auto" w:fill="FFFFFF"/>
              <w:spacing w:line="20" w:lineRule="atLeast"/>
              <w:rPr>
                <w:rFonts w:eastAsia="Times New Roman" w:cs="Times New Roman"/>
                <w:lang w:eastAsia="lv-LV"/>
              </w:rPr>
            </w:pPr>
            <w:r>
              <w:rPr>
                <w:rFonts w:eastAsia="Times New Roman" w:cs="Times New Roman"/>
                <w:lang w:eastAsia="lv-LV"/>
              </w:rPr>
              <w:t>P</w:t>
            </w:r>
            <w:r w:rsidRPr="00CF0349">
              <w:rPr>
                <w:rFonts w:eastAsia="Times New Roman" w:cs="Times New Roman"/>
                <w:lang w:eastAsia="lv-LV"/>
              </w:rPr>
              <w:t xml:space="preserve">ēc kāda principa tiks pieņemts lēmums, kurus projektus atbalstīt, ja projektu skaits, kas sasniedz maksimālo punktu skaitu un ir ar plašu </w:t>
            </w:r>
            <w:r w:rsidRPr="00CF0349">
              <w:rPr>
                <w:rFonts w:eastAsia="Times New Roman" w:cs="Times New Roman"/>
                <w:lang w:eastAsia="lv-LV"/>
              </w:rPr>
              <w:lastRenderedPageBreak/>
              <w:t>partnerību, būs lielāks nekā pieejamais finansējums?</w:t>
            </w:r>
          </w:p>
        </w:tc>
        <w:tc>
          <w:tcPr>
            <w:tcW w:w="3504" w:type="pct"/>
            <w:tcBorders>
              <w:bottom w:val="single" w:sz="4" w:space="0" w:color="000000"/>
            </w:tcBorders>
            <w:shd w:val="clear" w:color="auto" w:fill="auto"/>
          </w:tcPr>
          <w:p w14:paraId="743D8D05" w14:textId="77777777" w:rsidR="00CF0349" w:rsidRPr="00CF0349" w:rsidRDefault="00CF0349" w:rsidP="00735E7E">
            <w:pPr>
              <w:spacing w:before="60" w:after="0"/>
              <w:rPr>
                <w:rFonts w:cs="Times New Roman"/>
                <w:i/>
                <w:color w:val="0070C0"/>
              </w:rPr>
            </w:pPr>
            <w:r w:rsidRPr="00CF0349">
              <w:rPr>
                <w:rFonts w:cs="Times New Roman"/>
                <w:i/>
                <w:color w:val="0070C0"/>
              </w:rPr>
              <w:lastRenderedPageBreak/>
              <w:t xml:space="preserve">Projekta iesniegumiem, izmantojot kvalitātes kritērijos piešķirto vērtējumu, tiek aprēķināta </w:t>
            </w:r>
            <w:r w:rsidRPr="00CF0349">
              <w:rPr>
                <w:rFonts w:cs="Times New Roman"/>
                <w:b/>
                <w:bCs/>
                <w:i/>
                <w:color w:val="0070C0"/>
              </w:rPr>
              <w:t>kvalitātes kritēriju vērtējumu kopsumma, ņemot vērā katra kritērija vērtējuma svaru</w:t>
            </w:r>
            <w:r w:rsidRPr="00CF0349">
              <w:rPr>
                <w:rFonts w:cs="Times New Roman"/>
                <w:i/>
                <w:color w:val="0070C0"/>
              </w:rPr>
              <w:t>.</w:t>
            </w:r>
          </w:p>
          <w:p w14:paraId="7857ED54" w14:textId="77777777" w:rsidR="00CF0349" w:rsidRPr="00CF0349" w:rsidRDefault="00CF0349" w:rsidP="00735E7E">
            <w:pPr>
              <w:spacing w:before="0"/>
              <w:rPr>
                <w:rFonts w:cs="Times New Roman"/>
                <w:i/>
                <w:color w:val="0070C0"/>
              </w:rPr>
            </w:pPr>
            <w:r w:rsidRPr="00CF0349">
              <w:rPr>
                <w:rFonts w:cs="Times New Roman"/>
                <w:i/>
                <w:color w:val="0070C0"/>
              </w:rPr>
              <w:t>Pēc vērtēšanas projekti tiek sarindoti prioritārā secībā pēc aprēķinātās kvalitātes kritēriju vērtējumu kopsummas:</w:t>
            </w:r>
          </w:p>
          <w:p w14:paraId="60389ABD" w14:textId="77777777" w:rsidR="00CF0349" w:rsidRPr="00CF0349" w:rsidRDefault="00CF0349" w:rsidP="00EE377E">
            <w:pPr>
              <w:numPr>
                <w:ilvl w:val="1"/>
                <w:numId w:val="18"/>
              </w:numPr>
              <w:tabs>
                <w:tab w:val="clear" w:pos="1440"/>
              </w:tabs>
              <w:spacing w:before="0" w:after="0"/>
              <w:ind w:left="463" w:hanging="357"/>
              <w:rPr>
                <w:rFonts w:cs="Times New Roman"/>
                <w:i/>
                <w:color w:val="0070C0"/>
              </w:rPr>
            </w:pPr>
            <w:r w:rsidRPr="00CF0349">
              <w:rPr>
                <w:rFonts w:cs="Times New Roman"/>
                <w:i/>
                <w:color w:val="0070C0"/>
              </w:rPr>
              <w:lastRenderedPageBreak/>
              <w:t xml:space="preserve">atbalstu sākotnēji sniedz projekta iesniegumam ar piešķirto </w:t>
            </w:r>
            <w:r w:rsidRPr="00CF0349">
              <w:rPr>
                <w:rFonts w:cs="Times New Roman"/>
                <w:b/>
                <w:bCs/>
                <w:i/>
                <w:color w:val="0070C0"/>
              </w:rPr>
              <w:t>augstāko kvalitātes kritēriju vērtējumu kopsummu</w:t>
            </w:r>
            <w:r w:rsidRPr="00CF0349">
              <w:rPr>
                <w:rFonts w:cs="Times New Roman"/>
                <w:i/>
                <w:color w:val="0070C0"/>
              </w:rPr>
              <w:t xml:space="preserve">; </w:t>
            </w:r>
          </w:p>
          <w:p w14:paraId="76951BCC" w14:textId="77777777" w:rsidR="00CF0349" w:rsidRPr="00CF0349" w:rsidRDefault="00CF0349" w:rsidP="00EE377E">
            <w:pPr>
              <w:numPr>
                <w:ilvl w:val="1"/>
                <w:numId w:val="18"/>
              </w:numPr>
              <w:tabs>
                <w:tab w:val="clear" w:pos="1440"/>
              </w:tabs>
              <w:spacing w:before="0" w:after="0"/>
              <w:ind w:left="463" w:hanging="357"/>
              <w:rPr>
                <w:rFonts w:cs="Times New Roman"/>
                <w:i/>
                <w:color w:val="0070C0"/>
              </w:rPr>
            </w:pPr>
            <w:r w:rsidRPr="00CF0349">
              <w:rPr>
                <w:rFonts w:cs="Times New Roman"/>
                <w:i/>
                <w:color w:val="0070C0"/>
              </w:rPr>
              <w:t xml:space="preserve">ja pēc sākotnēji atbalstīto projektu iesniedzēju apstiprināšanas ir pieejams finansējums, atbalstu sniedz nākamajam projekta iesniegumam ar augstāko kvalitātes kritēriju vērtējumu kopsummu; </w:t>
            </w:r>
          </w:p>
          <w:p w14:paraId="51586AD4" w14:textId="77777777" w:rsidR="00CF0349" w:rsidRPr="00CF0349" w:rsidRDefault="00CF0349" w:rsidP="00EE377E">
            <w:pPr>
              <w:numPr>
                <w:ilvl w:val="1"/>
                <w:numId w:val="18"/>
              </w:numPr>
              <w:tabs>
                <w:tab w:val="clear" w:pos="1440"/>
              </w:tabs>
              <w:spacing w:before="0" w:after="0"/>
              <w:ind w:left="463" w:hanging="357"/>
              <w:rPr>
                <w:rFonts w:cs="Times New Roman"/>
                <w:i/>
                <w:color w:val="0070C0"/>
              </w:rPr>
            </w:pPr>
            <w:r w:rsidRPr="00CF0349">
              <w:rPr>
                <w:rFonts w:cs="Times New Roman"/>
                <w:i/>
                <w:color w:val="0070C0"/>
              </w:rPr>
              <w:t xml:space="preserve">ja vairākiem projektu iesniegumiem piešķirta vienāda kvalitātes kritēriju vērtējumu kopsumma, priekšroka ir: </w:t>
            </w:r>
          </w:p>
          <w:p w14:paraId="48071B76" w14:textId="77777777" w:rsidR="00CF0349" w:rsidRPr="00CF0349" w:rsidRDefault="00CF0349" w:rsidP="00EE377E">
            <w:pPr>
              <w:numPr>
                <w:ilvl w:val="2"/>
                <w:numId w:val="18"/>
              </w:numPr>
              <w:tabs>
                <w:tab w:val="clear" w:pos="2160"/>
              </w:tabs>
              <w:spacing w:after="0"/>
              <w:ind w:left="888" w:hanging="357"/>
              <w:rPr>
                <w:rFonts w:cs="Times New Roman"/>
                <w:i/>
                <w:color w:val="0070C0"/>
              </w:rPr>
            </w:pPr>
            <w:r w:rsidRPr="00CF0349">
              <w:rPr>
                <w:rFonts w:cs="Times New Roman"/>
                <w:i/>
                <w:color w:val="0070C0"/>
              </w:rPr>
              <w:t xml:space="preserve">projekta iesniegumam, kas saņēmis augstāku punktu skaitu kvalitātes </w:t>
            </w:r>
            <w:r w:rsidRPr="00CF0349">
              <w:rPr>
                <w:rFonts w:cs="Times New Roman"/>
                <w:b/>
                <w:bCs/>
                <w:i/>
                <w:color w:val="0070C0"/>
              </w:rPr>
              <w:t>kritērijā</w:t>
            </w:r>
            <w:r w:rsidRPr="00CF0349">
              <w:rPr>
                <w:rFonts w:cs="Times New Roman"/>
                <w:i/>
                <w:color w:val="0070C0"/>
              </w:rPr>
              <w:t xml:space="preserve"> </w:t>
            </w:r>
            <w:r w:rsidRPr="00CF0349">
              <w:rPr>
                <w:rFonts w:cs="Times New Roman"/>
                <w:b/>
                <w:bCs/>
                <w:i/>
                <w:color w:val="0070C0"/>
              </w:rPr>
              <w:t>Nr.3.2</w:t>
            </w:r>
            <w:r w:rsidRPr="00CF0349">
              <w:rPr>
                <w:rFonts w:cs="Times New Roman"/>
                <w:i/>
                <w:color w:val="0070C0"/>
              </w:rPr>
              <w:t>.;</w:t>
            </w:r>
          </w:p>
          <w:p w14:paraId="53B54C8B" w14:textId="77777777" w:rsidR="00CF0349" w:rsidRPr="00CF0349" w:rsidRDefault="00CF0349" w:rsidP="00EE377E">
            <w:pPr>
              <w:numPr>
                <w:ilvl w:val="2"/>
                <w:numId w:val="18"/>
              </w:numPr>
              <w:tabs>
                <w:tab w:val="clear" w:pos="2160"/>
              </w:tabs>
              <w:spacing w:before="0" w:after="0"/>
              <w:ind w:left="888" w:hanging="357"/>
              <w:rPr>
                <w:rFonts w:cs="Times New Roman"/>
                <w:i/>
                <w:color w:val="0070C0"/>
              </w:rPr>
            </w:pPr>
            <w:r w:rsidRPr="00CF0349">
              <w:rPr>
                <w:rFonts w:cs="Times New Roman"/>
                <w:i/>
                <w:color w:val="0070C0"/>
              </w:rPr>
              <w:t xml:space="preserve">gadījumā ja vairākiem projektu iesniegumiem piešķirts vienāds punktu skaits kritērijā Nr.3.2., priekšroka ir projekta iesniegumam, kas saņēmis augstāku punktu skaitu kvalitātes </w:t>
            </w:r>
            <w:r w:rsidRPr="00CF0349">
              <w:rPr>
                <w:rFonts w:cs="Times New Roman"/>
                <w:b/>
                <w:bCs/>
                <w:i/>
                <w:color w:val="0070C0"/>
              </w:rPr>
              <w:t>kritērijā Nr.3.1</w:t>
            </w:r>
            <w:r w:rsidRPr="00CF0349">
              <w:rPr>
                <w:rFonts w:cs="Times New Roman"/>
                <w:i/>
                <w:color w:val="0070C0"/>
              </w:rPr>
              <w:t>.;</w:t>
            </w:r>
          </w:p>
          <w:p w14:paraId="2F0DEB8E" w14:textId="2C4F693B" w:rsidR="006A05D9" w:rsidRPr="00CF0349" w:rsidRDefault="00CF0349" w:rsidP="00735E7E">
            <w:pPr>
              <w:numPr>
                <w:ilvl w:val="2"/>
                <w:numId w:val="18"/>
              </w:numPr>
              <w:tabs>
                <w:tab w:val="clear" w:pos="2160"/>
              </w:tabs>
              <w:spacing w:before="0" w:after="60"/>
              <w:ind w:left="890" w:hanging="357"/>
              <w:rPr>
                <w:rFonts w:cs="Times New Roman"/>
                <w:i/>
                <w:color w:val="0070C0"/>
              </w:rPr>
            </w:pPr>
            <w:r w:rsidRPr="00CF0349">
              <w:rPr>
                <w:rFonts w:cs="Times New Roman"/>
                <w:i/>
                <w:color w:val="0070C0"/>
              </w:rPr>
              <w:t xml:space="preserve">gadījumā ja vairākiem projektu iesniegumiem piešķirts vienāds punktu skaits kritērijā 3.2., priekšroka ir projekta iesniegumam, kas saņēmis augstāku punktu skaitu kvalitātes </w:t>
            </w:r>
            <w:r w:rsidRPr="00CF0349">
              <w:rPr>
                <w:rFonts w:cs="Times New Roman"/>
                <w:b/>
                <w:bCs/>
                <w:i/>
                <w:color w:val="0070C0"/>
              </w:rPr>
              <w:t>kritērijā Nr.3.4</w:t>
            </w:r>
            <w:r w:rsidRPr="00CF0349">
              <w:rPr>
                <w:rFonts w:cs="Times New Roman"/>
                <w:i/>
                <w:color w:val="0070C0"/>
              </w:rPr>
              <w:t>.</w:t>
            </w:r>
          </w:p>
        </w:tc>
      </w:tr>
      <w:tr w:rsidR="002C4371" w:rsidRPr="00646DA8" w14:paraId="6D289D40" w14:textId="77777777" w:rsidTr="00CF0349">
        <w:tc>
          <w:tcPr>
            <w:tcW w:w="1496" w:type="pct"/>
            <w:tcBorders>
              <w:bottom w:val="single" w:sz="4" w:space="0" w:color="000000"/>
            </w:tcBorders>
            <w:shd w:val="clear" w:color="auto" w:fill="auto"/>
          </w:tcPr>
          <w:p w14:paraId="4DAF1C29" w14:textId="4AF0DBD5" w:rsidR="002C4371" w:rsidRDefault="00251C0D" w:rsidP="00CF0349">
            <w:pPr>
              <w:shd w:val="clear" w:color="auto" w:fill="FFFFFF"/>
              <w:spacing w:line="20" w:lineRule="atLeast"/>
              <w:rPr>
                <w:rFonts w:eastAsia="Times New Roman" w:cs="Times New Roman"/>
                <w:lang w:eastAsia="lv-LV"/>
              </w:rPr>
            </w:pPr>
            <w:r>
              <w:rPr>
                <w:rFonts w:eastAsia="Times New Roman" w:cs="Times New Roman"/>
                <w:lang w:eastAsia="lv-LV"/>
              </w:rPr>
              <w:lastRenderedPageBreak/>
              <w:t xml:space="preserve">Kā pamatot </w:t>
            </w:r>
            <w:proofErr w:type="spellStart"/>
            <w:r w:rsidRPr="00251C0D">
              <w:rPr>
                <w:rFonts w:eastAsia="Times New Roman" w:cs="Times New Roman"/>
                <w:lang w:eastAsia="lv-LV"/>
              </w:rPr>
              <w:t>dubultfinansējuma</w:t>
            </w:r>
            <w:proofErr w:type="spellEnd"/>
            <w:r>
              <w:rPr>
                <w:rFonts w:eastAsia="Times New Roman" w:cs="Times New Roman"/>
                <w:lang w:eastAsia="lv-LV"/>
              </w:rPr>
              <w:t xml:space="preserve"> riska neesamību?</w:t>
            </w:r>
          </w:p>
        </w:tc>
        <w:tc>
          <w:tcPr>
            <w:tcW w:w="3504" w:type="pct"/>
            <w:tcBorders>
              <w:bottom w:val="single" w:sz="4" w:space="0" w:color="000000"/>
            </w:tcBorders>
            <w:shd w:val="clear" w:color="auto" w:fill="auto"/>
          </w:tcPr>
          <w:p w14:paraId="51D82C4E" w14:textId="5C217696" w:rsidR="002C4371" w:rsidRPr="00CF0349" w:rsidRDefault="00251C0D" w:rsidP="00251C0D">
            <w:pPr>
              <w:rPr>
                <w:rFonts w:cs="Times New Roman"/>
                <w:i/>
                <w:color w:val="0070C0"/>
              </w:rPr>
            </w:pPr>
            <w:r>
              <w:rPr>
                <w:rFonts w:cs="Times New Roman"/>
                <w:i/>
                <w:color w:val="0070C0"/>
              </w:rPr>
              <w:t>P</w:t>
            </w:r>
            <w:r w:rsidRPr="002C4371">
              <w:rPr>
                <w:rFonts w:cs="Times New Roman"/>
                <w:i/>
                <w:color w:val="0070C0"/>
              </w:rPr>
              <w:t xml:space="preserve">rojekta iesniegumā īsi jāapraksta, kādas līdzīgas (ja attiecināms) darbības ir īstenotas citos ES fondu u.c. projektos. Ja tas labāk paskaidro </w:t>
            </w:r>
            <w:proofErr w:type="spellStart"/>
            <w:r w:rsidRPr="002C4371">
              <w:rPr>
                <w:rFonts w:cs="Times New Roman"/>
                <w:i/>
                <w:color w:val="0070C0"/>
              </w:rPr>
              <w:t>dubultfinansējuma</w:t>
            </w:r>
            <w:proofErr w:type="spellEnd"/>
            <w:r w:rsidRPr="002C4371">
              <w:rPr>
                <w:rFonts w:cs="Times New Roman"/>
                <w:i/>
                <w:color w:val="0070C0"/>
              </w:rPr>
              <w:t xml:space="preserve"> neesamību, projektā var aprakstīt līdzīgos un atšķirīgos aspektus iepriekš jau ieviestajiem risinājumiem ar 14.1.1.1.pasākumā plānoto.</w:t>
            </w:r>
          </w:p>
        </w:tc>
      </w:tr>
      <w:tr w:rsidR="002C4371" w:rsidRPr="00646DA8" w14:paraId="789A1B6B" w14:textId="77777777" w:rsidTr="00CF0349">
        <w:tc>
          <w:tcPr>
            <w:tcW w:w="1496" w:type="pct"/>
            <w:tcBorders>
              <w:bottom w:val="single" w:sz="4" w:space="0" w:color="000000"/>
            </w:tcBorders>
            <w:shd w:val="clear" w:color="auto" w:fill="auto"/>
          </w:tcPr>
          <w:p w14:paraId="1301C24B" w14:textId="1EFF85AF" w:rsidR="002C4371" w:rsidRDefault="002C4371" w:rsidP="00CF0349">
            <w:pPr>
              <w:shd w:val="clear" w:color="auto" w:fill="FFFFFF"/>
              <w:spacing w:line="20" w:lineRule="atLeast"/>
              <w:rPr>
                <w:rFonts w:eastAsia="Times New Roman" w:cs="Times New Roman"/>
                <w:lang w:eastAsia="lv-LV"/>
              </w:rPr>
            </w:pPr>
            <w:r w:rsidRPr="002C4371">
              <w:rPr>
                <w:rFonts w:eastAsia="Times New Roman" w:cs="Times New Roman"/>
                <w:lang w:eastAsia="lv-LV"/>
              </w:rPr>
              <w:t>Kā tiks vērtēti projekta pieteikumi, ja piemēram, 2 konsorcijiem būs līdzīgas idejas</w:t>
            </w:r>
          </w:p>
        </w:tc>
        <w:tc>
          <w:tcPr>
            <w:tcW w:w="3504" w:type="pct"/>
            <w:tcBorders>
              <w:bottom w:val="single" w:sz="4" w:space="0" w:color="000000"/>
            </w:tcBorders>
            <w:shd w:val="clear" w:color="auto" w:fill="auto"/>
          </w:tcPr>
          <w:p w14:paraId="458774D6" w14:textId="0ACF4A89" w:rsidR="002C4371" w:rsidRPr="00CF0349" w:rsidRDefault="002C4371" w:rsidP="00251C0D">
            <w:pPr>
              <w:rPr>
                <w:rFonts w:cs="Times New Roman"/>
                <w:i/>
                <w:color w:val="0070C0"/>
              </w:rPr>
            </w:pPr>
            <w:r w:rsidRPr="002C4371">
              <w:rPr>
                <w:rFonts w:cs="Times New Roman"/>
                <w:i/>
                <w:color w:val="0070C0"/>
              </w:rPr>
              <w:t>Projekta atbilstību kvalitātes kritērijiem 3.2.-3.5., par ko tiek piešķirts vērtējums punktos, vērtēs ārvalstu eksperti. Projekti konkurēs atklātā konkursā  neatkarīgi no tematikas, t.sk. līdzības vairākos projektu iesniegumos.</w:t>
            </w:r>
          </w:p>
        </w:tc>
      </w:tr>
      <w:tr w:rsidR="00251C0D" w:rsidRPr="00646DA8" w14:paraId="404B7470" w14:textId="77777777" w:rsidTr="00CF0349">
        <w:tc>
          <w:tcPr>
            <w:tcW w:w="1496" w:type="pct"/>
            <w:tcBorders>
              <w:bottom w:val="single" w:sz="4" w:space="0" w:color="000000"/>
            </w:tcBorders>
            <w:shd w:val="clear" w:color="auto" w:fill="auto"/>
          </w:tcPr>
          <w:p w14:paraId="1ACC5548" w14:textId="641B06DC" w:rsidR="00251C0D" w:rsidRPr="002C4371" w:rsidRDefault="00251C0D" w:rsidP="00CF0349">
            <w:pPr>
              <w:shd w:val="clear" w:color="auto" w:fill="FFFFFF"/>
              <w:spacing w:line="20" w:lineRule="atLeast"/>
              <w:rPr>
                <w:rFonts w:eastAsia="Times New Roman" w:cs="Times New Roman"/>
                <w:lang w:eastAsia="lv-LV"/>
              </w:rPr>
            </w:pPr>
            <w:r w:rsidRPr="00251C0D">
              <w:rPr>
                <w:rFonts w:eastAsia="Times New Roman" w:cs="Times New Roman"/>
                <w:lang w:eastAsia="lv-LV"/>
              </w:rPr>
              <w:t xml:space="preserve">Vai pareizi saprotu, ka pēc kvalitātes kritērijiem </w:t>
            </w:r>
            <w:proofErr w:type="spellStart"/>
            <w:r w:rsidRPr="00251C0D">
              <w:rPr>
                <w:rFonts w:eastAsia="Times New Roman" w:cs="Times New Roman"/>
                <w:lang w:eastAsia="lv-LV"/>
              </w:rPr>
              <w:t>max</w:t>
            </w:r>
            <w:proofErr w:type="spellEnd"/>
            <w:r w:rsidRPr="00251C0D">
              <w:rPr>
                <w:rFonts w:eastAsia="Times New Roman" w:cs="Times New Roman"/>
                <w:lang w:eastAsia="lv-LV"/>
              </w:rPr>
              <w:t xml:space="preserve"> punktu skaits tiek piešķirts par visu piecu digitālo kompetenču apguvi (3.1.1.) viena </w:t>
            </w:r>
            <w:proofErr w:type="spellStart"/>
            <w:r w:rsidRPr="00251C0D">
              <w:rPr>
                <w:rFonts w:eastAsia="Times New Roman" w:cs="Times New Roman"/>
                <w:lang w:eastAsia="lv-LV"/>
              </w:rPr>
              <w:t>st.kursa</w:t>
            </w:r>
            <w:proofErr w:type="spellEnd"/>
            <w:r w:rsidRPr="00251C0D">
              <w:rPr>
                <w:rFonts w:eastAsia="Times New Roman" w:cs="Times New Roman"/>
                <w:lang w:eastAsia="lv-LV"/>
              </w:rPr>
              <w:t>/moduļa ietvaros</w:t>
            </w:r>
          </w:p>
        </w:tc>
        <w:tc>
          <w:tcPr>
            <w:tcW w:w="3504" w:type="pct"/>
            <w:tcBorders>
              <w:bottom w:val="single" w:sz="4" w:space="0" w:color="000000"/>
            </w:tcBorders>
            <w:shd w:val="clear" w:color="auto" w:fill="auto"/>
          </w:tcPr>
          <w:p w14:paraId="2BF0647A" w14:textId="3DC8DB37" w:rsidR="00251C0D" w:rsidRPr="002C4371" w:rsidRDefault="00251C0D" w:rsidP="00251C0D">
            <w:pPr>
              <w:rPr>
                <w:rFonts w:cs="Times New Roman"/>
                <w:i/>
                <w:color w:val="0070C0"/>
              </w:rPr>
            </w:pPr>
            <w:r w:rsidRPr="00251C0D">
              <w:rPr>
                <w:rFonts w:cs="Times New Roman"/>
                <w:i/>
                <w:color w:val="0070C0"/>
              </w:rPr>
              <w:t xml:space="preserve">Projektam piešķirami 5 punkti, </w:t>
            </w:r>
            <w:r w:rsidRPr="00251C0D">
              <w:rPr>
                <w:rFonts w:cs="Times New Roman"/>
                <w:b/>
                <w:bCs/>
                <w:i/>
                <w:color w:val="0070C0"/>
              </w:rPr>
              <w:t>ja projekts stiprina</w:t>
            </w:r>
            <w:r w:rsidRPr="00251C0D">
              <w:rPr>
                <w:rFonts w:cs="Times New Roman"/>
                <w:i/>
                <w:color w:val="0070C0"/>
              </w:rPr>
              <w:t xml:space="preserve"> visu </w:t>
            </w:r>
            <w:r w:rsidRPr="00251C0D">
              <w:rPr>
                <w:rFonts w:cs="Times New Roman"/>
                <w:b/>
                <w:bCs/>
                <w:i/>
                <w:color w:val="0070C0"/>
              </w:rPr>
              <w:t>piecu</w:t>
            </w:r>
            <w:r w:rsidRPr="00251C0D">
              <w:rPr>
                <w:rFonts w:cs="Times New Roman"/>
                <w:i/>
                <w:color w:val="0070C0"/>
              </w:rPr>
              <w:t xml:space="preserve"> kompetenču jomu apguvi ne zemāk kā 5.apguves līmenī.</w:t>
            </w:r>
          </w:p>
        </w:tc>
      </w:tr>
      <w:tr w:rsidR="00F15A74" w:rsidRPr="00646DA8" w14:paraId="071124C9" w14:textId="77777777" w:rsidTr="0078046B">
        <w:tc>
          <w:tcPr>
            <w:tcW w:w="5000" w:type="pct"/>
            <w:gridSpan w:val="2"/>
            <w:tcBorders>
              <w:bottom w:val="single" w:sz="4" w:space="0" w:color="000000"/>
            </w:tcBorders>
            <w:shd w:val="clear" w:color="auto" w:fill="A8D08D" w:themeFill="accent6" w:themeFillTint="99"/>
            <w:vAlign w:val="center"/>
          </w:tcPr>
          <w:p w14:paraId="14150FF0" w14:textId="328F2A2C" w:rsidR="00F15A74" w:rsidRPr="00251C0D" w:rsidRDefault="00F15A74" w:rsidP="00251C0D">
            <w:pPr>
              <w:pStyle w:val="Heading1"/>
            </w:pPr>
            <w:bookmarkStart w:id="9" w:name="_Toc100667641"/>
            <w:r w:rsidRPr="00646DA8">
              <w:t>Attiecināmās izmaksas</w:t>
            </w:r>
            <w:bookmarkEnd w:id="9"/>
          </w:p>
        </w:tc>
      </w:tr>
      <w:tr w:rsidR="003E4B89" w:rsidRPr="00646DA8" w14:paraId="32CE9CED" w14:textId="77777777" w:rsidTr="00CF0349">
        <w:tc>
          <w:tcPr>
            <w:tcW w:w="1496" w:type="pct"/>
            <w:shd w:val="clear" w:color="auto" w:fill="auto"/>
          </w:tcPr>
          <w:p w14:paraId="04DDAC9F" w14:textId="2B68BBEC" w:rsidR="003E4B89" w:rsidRPr="00646DA8" w:rsidRDefault="003E4B89" w:rsidP="003E4B89">
            <w:pPr>
              <w:shd w:val="clear" w:color="auto" w:fill="FFFFFF"/>
              <w:spacing w:line="300" w:lineRule="atLeast"/>
              <w:jc w:val="left"/>
            </w:pPr>
            <w:r w:rsidRPr="006A05D9">
              <w:t>Ja kursu docēšana tiek  apmaksājam no projekta un tie tiek ieskaitīti studiju programmā, vai tas nav uzskatāms par dubulto finansējumu?</w:t>
            </w:r>
          </w:p>
        </w:tc>
        <w:tc>
          <w:tcPr>
            <w:tcW w:w="3504" w:type="pct"/>
            <w:shd w:val="clear" w:color="auto" w:fill="auto"/>
          </w:tcPr>
          <w:p w14:paraId="6BFE0D18" w14:textId="77777777" w:rsidR="003E4B89" w:rsidRPr="003E4B89" w:rsidRDefault="003E4B89" w:rsidP="003E4B89">
            <w:pPr>
              <w:rPr>
                <w:i/>
                <w:iCs/>
                <w:color w:val="0070C0"/>
              </w:rPr>
            </w:pPr>
            <w:r w:rsidRPr="003E4B89">
              <w:rPr>
                <w:i/>
                <w:iCs/>
                <w:color w:val="0070C0"/>
              </w:rPr>
              <w:t xml:space="preserve">Kursu docēšana kā tāda netiek apmaksāta no projekta, tas ir, docētājs nevar saņemt atlīdzību no projekta par darbu, kas esošo pienākumu ietvaros jau tiek apmaksāts no augstskolas budžeta. Vienlaikus docētājs var saņemt atlīdzību no projekta, ja viņš ir iesaistīts projektā kā īstenošanas personāls, kas projektā veic konkrētus uzdevumus, piemēram, adaptē studiju saturu, izstrādā atbilstošu metodiku, testē to pielietošanu praksē, aprobē jauno saturu, tai skaitā strādā ar studentiem (piemēram, studentu </w:t>
            </w:r>
            <w:proofErr w:type="spellStart"/>
            <w:r w:rsidRPr="003E4B89">
              <w:rPr>
                <w:i/>
                <w:iCs/>
                <w:color w:val="0070C0"/>
              </w:rPr>
              <w:t>pilotgrupām</w:t>
            </w:r>
            <w:proofErr w:type="spellEnd"/>
            <w:r w:rsidRPr="003E4B89">
              <w:rPr>
                <w:i/>
                <w:iCs/>
                <w:color w:val="0070C0"/>
              </w:rPr>
              <w:t xml:space="preserve">), izstrādā priekšlikumus satura un metožu pilnveidošanai. Līdz ar to docētāji kā projekta īstenošanas personāls no projekta var saņemt atlīdzību par darbu ar studentiem </w:t>
            </w:r>
            <w:r w:rsidRPr="003E4B89">
              <w:rPr>
                <w:b/>
                <w:bCs/>
                <w:i/>
                <w:iCs/>
                <w:color w:val="0070C0"/>
              </w:rPr>
              <w:t>jaunā satura ieviešanā</w:t>
            </w:r>
            <w:r w:rsidRPr="003E4B89">
              <w:rPr>
                <w:i/>
                <w:iCs/>
                <w:color w:val="0070C0"/>
              </w:rPr>
              <w:t xml:space="preserve">. </w:t>
            </w:r>
          </w:p>
          <w:p w14:paraId="47340C74" w14:textId="0C49530C" w:rsidR="003E4B89" w:rsidRPr="00646DA8" w:rsidRDefault="003E4B89" w:rsidP="003E4B89">
            <w:pPr>
              <w:ind w:left="17" w:right="17"/>
              <w:rPr>
                <w:rFonts w:cs="Times New Roman"/>
                <w:i/>
                <w:iCs/>
                <w:color w:val="0070C0"/>
              </w:rPr>
            </w:pPr>
            <w:r w:rsidRPr="008739AB">
              <w:rPr>
                <w:i/>
                <w:iCs/>
                <w:color w:val="0070C0"/>
                <w:u w:val="single"/>
              </w:rPr>
              <w:t>Vēršam uzmanību,</w:t>
            </w:r>
            <w:r w:rsidRPr="003E4B89">
              <w:rPr>
                <w:i/>
                <w:iCs/>
                <w:color w:val="0070C0"/>
              </w:rPr>
              <w:t xml:space="preserve"> ka finansējuma saņēmējam, plānojot projekta personāla atlīdzības izmaksas, ir jānodrošina dubultā finansējuma riska neiestāšanās</w:t>
            </w:r>
          </w:p>
        </w:tc>
      </w:tr>
      <w:tr w:rsidR="003E4B89" w:rsidRPr="00646DA8" w14:paraId="2B7C17A7" w14:textId="77777777" w:rsidTr="00CF0349">
        <w:tc>
          <w:tcPr>
            <w:tcW w:w="1496" w:type="pct"/>
            <w:shd w:val="clear" w:color="auto" w:fill="auto"/>
          </w:tcPr>
          <w:p w14:paraId="7D1F632E" w14:textId="62415962" w:rsidR="003E4B89" w:rsidRPr="00646DA8" w:rsidRDefault="003E4B89" w:rsidP="003E4B89">
            <w:pPr>
              <w:shd w:val="clear" w:color="auto" w:fill="FFFFFF"/>
              <w:spacing w:line="300" w:lineRule="atLeast"/>
              <w:jc w:val="left"/>
              <w:rPr>
                <w:rFonts w:eastAsia="Times New Roman" w:cs="Times New Roman"/>
                <w:lang w:eastAsia="lv-LV"/>
              </w:rPr>
            </w:pPr>
            <w:r w:rsidRPr="00646DA8">
              <w:t>Vai projektos var paredzēt gatavu risinājumu iegādi?</w:t>
            </w:r>
          </w:p>
        </w:tc>
        <w:tc>
          <w:tcPr>
            <w:tcW w:w="3504" w:type="pct"/>
            <w:shd w:val="clear" w:color="auto" w:fill="auto"/>
          </w:tcPr>
          <w:p w14:paraId="382CD88B" w14:textId="000EE018" w:rsidR="003E4B89" w:rsidRPr="00646DA8" w:rsidRDefault="003E4B89" w:rsidP="003E4B89">
            <w:pPr>
              <w:ind w:left="17" w:right="17"/>
              <w:rPr>
                <w:rFonts w:cs="Times New Roman"/>
                <w:i/>
                <w:iCs/>
                <w:color w:val="0070C0"/>
                <w:lang w:eastAsia="lv-LV"/>
              </w:rPr>
            </w:pPr>
            <w:r w:rsidRPr="00646DA8">
              <w:rPr>
                <w:rFonts w:cs="Times New Roman"/>
                <w:i/>
                <w:iCs/>
                <w:color w:val="0070C0"/>
              </w:rPr>
              <w:t>Projektos var paredzēt gatavu risinājumu (digitālā satura un digitālo tehnoloģiju) iegādi un pārņemšanu, attiecināmas ir arī intelektuālā īpašuma tiesību izmantošanas licences līguma un franšīzes līguma iegādes izmaksas</w:t>
            </w:r>
          </w:p>
        </w:tc>
      </w:tr>
      <w:tr w:rsidR="003E4B89" w:rsidRPr="00646DA8" w14:paraId="020303F6" w14:textId="77777777" w:rsidTr="00CF0349">
        <w:tc>
          <w:tcPr>
            <w:tcW w:w="1496" w:type="pct"/>
            <w:shd w:val="clear" w:color="auto" w:fill="auto"/>
          </w:tcPr>
          <w:p w14:paraId="61C2799E" w14:textId="766D88A6" w:rsidR="003E4B89" w:rsidRPr="00646DA8" w:rsidRDefault="003E4B89" w:rsidP="003E4B89">
            <w:pPr>
              <w:jc w:val="left"/>
            </w:pPr>
            <w:r w:rsidRPr="00646DA8">
              <w:lastRenderedPageBreak/>
              <w:t xml:space="preserve">Vai projektā var iegādāties digitālo risinājumu ieviešanai un attālinātu mācību nodrošināšanai nepieciešamo tehnisko nodrošinājumu - kvalitatīvi portatīvie datori docētājiem, ierakstu studijas iekārtošanai nepieciešamie materiāli un tehnika, specifisks materiāltehniskais nodrošinājums, piem. manekens ar imitētām brūcēm, jutīguma sensoriem, </w:t>
            </w:r>
            <w:proofErr w:type="spellStart"/>
            <w:r w:rsidRPr="00646DA8">
              <w:t>utml</w:t>
            </w:r>
            <w:proofErr w:type="spellEnd"/>
            <w:r w:rsidRPr="00646DA8">
              <w:t>.</w:t>
            </w:r>
          </w:p>
        </w:tc>
        <w:tc>
          <w:tcPr>
            <w:tcW w:w="3504" w:type="pct"/>
            <w:shd w:val="clear" w:color="auto" w:fill="auto"/>
          </w:tcPr>
          <w:p w14:paraId="0D715E63" w14:textId="77777777" w:rsidR="003E4B89" w:rsidRPr="00646DA8" w:rsidRDefault="003E4B89" w:rsidP="003E4B89">
            <w:pPr>
              <w:pStyle w:val="ListParagraph"/>
              <w:numPr>
                <w:ilvl w:val="0"/>
                <w:numId w:val="12"/>
              </w:numPr>
              <w:ind w:left="495"/>
              <w:rPr>
                <w:i/>
                <w:iCs/>
                <w:color w:val="0070C0"/>
                <w:lang w:val="lv-LV"/>
              </w:rPr>
            </w:pPr>
            <w:r w:rsidRPr="008739AB">
              <w:rPr>
                <w:b/>
                <w:bCs/>
                <w:i/>
                <w:iCs/>
                <w:color w:val="0070C0"/>
                <w:lang w:val="lv-LV"/>
              </w:rPr>
              <w:t>kvalitatīvi portatīvie datori docētājiem, un attālinātu mācību nodrošināšanai</w:t>
            </w:r>
            <w:r w:rsidRPr="00646DA8">
              <w:rPr>
                <w:i/>
                <w:iCs/>
                <w:color w:val="0070C0"/>
                <w:lang w:val="lv-LV"/>
              </w:rPr>
              <w:t xml:space="preserve"> – nav atbalstāmi, jo šie digitālie risinājumi nesekmēs studējošo digitālo prasmju attīstīšanu, bet gan palīdzēs augstskolas personālam būt mobiliem un nodrošinās iespēju strādāt attālināti, kas nav šī SAM uzdevums.</w:t>
            </w:r>
          </w:p>
          <w:p w14:paraId="513EB86E" w14:textId="77777777" w:rsidR="003E4B89" w:rsidRPr="00646DA8" w:rsidRDefault="003E4B89" w:rsidP="003E4B89">
            <w:pPr>
              <w:pStyle w:val="ListParagraph"/>
              <w:numPr>
                <w:ilvl w:val="0"/>
                <w:numId w:val="12"/>
              </w:numPr>
              <w:ind w:left="495"/>
              <w:rPr>
                <w:i/>
                <w:iCs/>
                <w:color w:val="0070C0"/>
                <w:lang w:val="lv-LV"/>
              </w:rPr>
            </w:pPr>
            <w:r w:rsidRPr="008739AB">
              <w:rPr>
                <w:b/>
                <w:bCs/>
                <w:i/>
                <w:iCs/>
                <w:color w:val="0070C0"/>
                <w:lang w:val="lv-LV"/>
              </w:rPr>
              <w:t>ierakstu studijas iekārtošanai nepieciešamie materiāli un tehnika</w:t>
            </w:r>
            <w:r w:rsidRPr="00646DA8">
              <w:rPr>
                <w:i/>
                <w:iCs/>
                <w:color w:val="0070C0"/>
                <w:lang w:val="lv-LV"/>
              </w:rPr>
              <w:t xml:space="preserve"> – nav atbalstāmi, jo, līdzīgi kā iepriekšējie risinājumi, nesekmē MK noteikumu 17.1.p. paredzēto.</w:t>
            </w:r>
          </w:p>
          <w:p w14:paraId="7CC08D8B" w14:textId="355F1C2C" w:rsidR="003E4B89" w:rsidRPr="00646DA8" w:rsidRDefault="003E4B89" w:rsidP="003E4B89">
            <w:pPr>
              <w:pStyle w:val="ListParagraph"/>
              <w:numPr>
                <w:ilvl w:val="0"/>
                <w:numId w:val="12"/>
              </w:numPr>
              <w:ind w:left="495"/>
              <w:rPr>
                <w:lang w:val="lv-LV"/>
              </w:rPr>
            </w:pPr>
            <w:r w:rsidRPr="00EB3CA6">
              <w:rPr>
                <w:b/>
                <w:bCs/>
                <w:i/>
                <w:iCs/>
                <w:color w:val="0070C0"/>
                <w:lang w:val="lv-LV"/>
              </w:rPr>
              <w:t xml:space="preserve">manekens ar imitētām brūcēm, jutīguma sensoriem, </w:t>
            </w:r>
            <w:proofErr w:type="spellStart"/>
            <w:r w:rsidRPr="00EB3CA6">
              <w:rPr>
                <w:b/>
                <w:bCs/>
                <w:i/>
                <w:iCs/>
                <w:color w:val="0070C0"/>
                <w:lang w:val="lv-LV"/>
              </w:rPr>
              <w:t>utml</w:t>
            </w:r>
            <w:proofErr w:type="spellEnd"/>
            <w:r w:rsidRPr="00646DA8">
              <w:rPr>
                <w:i/>
                <w:iCs/>
                <w:color w:val="0070C0"/>
                <w:lang w:val="lv-LV"/>
              </w:rPr>
              <w:t>. – šis iespējams neattīsta digitālas prasmes, bet varbūt ir iespējams interpretēt kā  inovatīvu digitālo tehnoloģisko risinājumu integrēšana studiju saturā, tai skaitā praktisko un pētniecisko darbu īstenošanai jaunā digitālā satura ieviešanā. Viennozīmīgi atbildēt, vai izmaksas ir attiecināmas un darbības atbalstāmas, nevar, jo tas jāskatās kontekstā ar saturu, ko plānots uzlabot. Šajā pasākumā uzsvars ir uz studiju satura pilnveidošanu digitālo prasmju uzlabošanai (tas var īstenoties arī caur praktisko izpēti, jo saturs nav tikai teorijas apgūšana, bet arī praktiskās iemaņas), bet tehniskais aprīkojums ir atbalstāms tikai tad, ja tas ir nepieciešams šī satura apgūšanai.</w:t>
            </w:r>
          </w:p>
        </w:tc>
      </w:tr>
      <w:tr w:rsidR="003E4B89" w:rsidRPr="00646DA8" w14:paraId="5DA8FB2A" w14:textId="77777777" w:rsidTr="00CF0349">
        <w:tc>
          <w:tcPr>
            <w:tcW w:w="1496" w:type="pct"/>
            <w:shd w:val="clear" w:color="auto" w:fill="auto"/>
          </w:tcPr>
          <w:p w14:paraId="2E8881B1" w14:textId="0BC20E22" w:rsidR="003E4B89" w:rsidRPr="006A05D9" w:rsidRDefault="003E4B89" w:rsidP="003E4B89">
            <w:pPr>
              <w:jc w:val="left"/>
            </w:pPr>
            <w:r w:rsidRPr="00646DA8">
              <w:t>Ņemot vērā, ka augstskolas kā partnerus var piesaistīt privātajām vai publiskajām organizācijām, kā arī ārvalstu augstskolas, vai šo partneru iesaisti ir iespējams finansēt no projekta attiecināmā izmaksām. Kāda ir sadarbības partneru (jo īpaši dažādu organizāciju un ārvalstu augstskolu) finansēšanas kārtība?</w:t>
            </w:r>
          </w:p>
        </w:tc>
        <w:tc>
          <w:tcPr>
            <w:tcW w:w="3504" w:type="pct"/>
            <w:shd w:val="clear" w:color="auto" w:fill="auto"/>
          </w:tcPr>
          <w:p w14:paraId="2EA4DF22" w14:textId="77777777" w:rsidR="003E4B89" w:rsidRPr="00646DA8" w:rsidRDefault="003E4B89" w:rsidP="003E4B89">
            <w:pPr>
              <w:pStyle w:val="PlainText"/>
              <w:rPr>
                <w:rFonts w:ascii="Times New Roman" w:hAnsi="Times New Roman" w:cs="Times New Roman"/>
                <w:i/>
                <w:iCs/>
                <w:color w:val="0070C0"/>
                <w:lang w:val="lv-LV"/>
              </w:rPr>
            </w:pPr>
            <w:r w:rsidRPr="00646DA8">
              <w:rPr>
                <w:rFonts w:ascii="Times New Roman" w:hAnsi="Times New Roman" w:cs="Times New Roman"/>
                <w:i/>
                <w:iCs/>
                <w:color w:val="0070C0"/>
                <w:lang w:val="lv-LV"/>
              </w:rPr>
              <w:t xml:space="preserve">Sadarbības partneru (arī privātās vai publiskajās organizācijas, kā arī ārvalstu augstskolas) iesaisti ir iespējams finansēt no projekta līdzekļiem. </w:t>
            </w:r>
          </w:p>
          <w:p w14:paraId="0610D859" w14:textId="77777777" w:rsidR="003E4B89" w:rsidRPr="00646DA8" w:rsidRDefault="003E4B89" w:rsidP="003E4B89">
            <w:pPr>
              <w:pStyle w:val="PlainText"/>
              <w:rPr>
                <w:rFonts w:ascii="Times New Roman" w:hAnsi="Times New Roman" w:cs="Times New Roman"/>
                <w:i/>
                <w:iCs/>
                <w:color w:val="0070C0"/>
                <w:lang w:val="lv-LV"/>
              </w:rPr>
            </w:pPr>
            <w:r w:rsidRPr="00646DA8">
              <w:rPr>
                <w:rFonts w:ascii="Times New Roman" w:hAnsi="Times New Roman" w:cs="Times New Roman"/>
                <w:i/>
                <w:iCs/>
                <w:color w:val="0070C0"/>
                <w:lang w:val="lv-LV"/>
              </w:rPr>
              <w:t xml:space="preserve">Sadarbības partnerim deleģē noteiktas funkcijas (pienākumus un tiesības) projektā atbilstoši pasākuma SAM MK noteikumos noteiktajām atbalstāmajām darbībām. Piemēram, partneris palīdz pārņemt savu digitālo risinājumu un pielāgot to attiecīgo augstskolu vajadzībām (konsultē), par ko saņem attiecīgu samaksu (sadarbības partnera institūcija saņem atlīdzību par projektā veiktajiem uzdevumiem). </w:t>
            </w:r>
          </w:p>
          <w:p w14:paraId="4F487C43" w14:textId="77777777" w:rsidR="003E4B89" w:rsidRPr="00646DA8" w:rsidRDefault="003E4B89" w:rsidP="003E4B89">
            <w:pPr>
              <w:pStyle w:val="PlainText"/>
              <w:rPr>
                <w:rFonts w:ascii="Times New Roman" w:hAnsi="Times New Roman" w:cs="Times New Roman"/>
                <w:i/>
                <w:iCs/>
                <w:color w:val="0070C0"/>
                <w:lang w:val="lv-LV"/>
              </w:rPr>
            </w:pPr>
            <w:r w:rsidRPr="00646DA8">
              <w:rPr>
                <w:rFonts w:ascii="Times New Roman" w:hAnsi="Times New Roman" w:cs="Times New Roman"/>
                <w:i/>
                <w:iCs/>
                <w:color w:val="0070C0"/>
                <w:lang w:val="lv-LV"/>
              </w:rPr>
              <w:t xml:space="preserve">Sadarbības partnerim no projekta ir jāmaksā par veiktajiem uzdevumiem atbilstoši viņa veiktā darba pašizmaksai (atbilstoši faktiskajām izmaksām, bez uzcenojuma). </w:t>
            </w:r>
          </w:p>
          <w:p w14:paraId="45E42D41" w14:textId="2AD3FD71" w:rsidR="003E4B89" w:rsidRPr="006A05D9" w:rsidRDefault="003E4B89" w:rsidP="003E4B89">
            <w:pPr>
              <w:rPr>
                <w:i/>
                <w:iCs/>
                <w:color w:val="0070C0"/>
              </w:rPr>
            </w:pPr>
            <w:r w:rsidRPr="00646DA8">
              <w:rPr>
                <w:rFonts w:cs="Times New Roman"/>
                <w:i/>
                <w:iCs/>
                <w:color w:val="0070C0"/>
              </w:rPr>
              <w:t>Sadarbības partnera finansēšanas kārtību saskaņā ar MK noteikumiem Nr.784</w:t>
            </w:r>
            <w:r w:rsidRPr="00646DA8">
              <w:rPr>
                <w:color w:val="0070C0"/>
              </w:rPr>
              <w:t xml:space="preserve"> “</w:t>
            </w:r>
            <w:r w:rsidRPr="00646DA8">
              <w:rPr>
                <w:rFonts w:cs="Times New Roman"/>
                <w:i/>
                <w:iCs/>
                <w:color w:val="0070C0"/>
              </w:rPr>
              <w:t>Kārtība, kādā Eiropas Savienības struktūrfondu un Kohēzijas fonda vadībā iesaistītās institūcijas nodrošina plānošanas dokumentu sagatavošanu un šo fondu ieviešanu 2014.–2020.gada plānošanas periodā” ir jāatrunā sadarbības līgumā.</w:t>
            </w:r>
          </w:p>
        </w:tc>
      </w:tr>
      <w:tr w:rsidR="003E4B89" w:rsidRPr="00646DA8" w14:paraId="79E00397" w14:textId="77777777" w:rsidTr="0078046B">
        <w:tc>
          <w:tcPr>
            <w:tcW w:w="5000" w:type="pct"/>
            <w:gridSpan w:val="2"/>
            <w:tcBorders>
              <w:bottom w:val="single" w:sz="4" w:space="0" w:color="000000"/>
            </w:tcBorders>
            <w:shd w:val="clear" w:color="auto" w:fill="A8D08D" w:themeFill="accent6" w:themeFillTint="99"/>
            <w:vAlign w:val="center"/>
          </w:tcPr>
          <w:p w14:paraId="42C0CF5D" w14:textId="23BBCD0C" w:rsidR="003E4B89" w:rsidRPr="00251C0D" w:rsidRDefault="003E4B89" w:rsidP="003E4B89">
            <w:pPr>
              <w:pStyle w:val="Heading1"/>
            </w:pPr>
            <w:bookmarkStart w:id="10" w:name="_Toc20918689"/>
            <w:bookmarkStart w:id="11" w:name="_Toc46148094"/>
            <w:bookmarkStart w:id="12" w:name="_Toc100667642"/>
            <w:r w:rsidRPr="00646DA8">
              <w:t>Projekta iesnieguma aizpildīšana</w:t>
            </w:r>
            <w:bookmarkEnd w:id="10"/>
            <w:bookmarkEnd w:id="11"/>
            <w:r>
              <w:t>/ Pielikumi</w:t>
            </w:r>
            <w:bookmarkEnd w:id="12"/>
          </w:p>
        </w:tc>
      </w:tr>
      <w:tr w:rsidR="003E4B89" w:rsidRPr="00646DA8" w14:paraId="5470F3A1" w14:textId="77777777" w:rsidTr="00CF0349">
        <w:trPr>
          <w:trHeight w:val="537"/>
        </w:trPr>
        <w:tc>
          <w:tcPr>
            <w:tcW w:w="1496" w:type="pct"/>
            <w:shd w:val="clear" w:color="auto" w:fill="auto"/>
          </w:tcPr>
          <w:p w14:paraId="1F862D75" w14:textId="154BCFE3" w:rsidR="003E4B89" w:rsidRPr="00646DA8" w:rsidRDefault="003E4B89" w:rsidP="003E4B89">
            <w:pPr>
              <w:jc w:val="left"/>
              <w:rPr>
                <w:rFonts w:eastAsia="Times New Roman"/>
                <w:lang w:eastAsia="lv-LV"/>
              </w:rPr>
            </w:pPr>
            <w:r w:rsidRPr="00646DA8">
              <w:t xml:space="preserve">Ņemot vērā, ka projekta iesniegumā jāpamato, ka projekta īstenošanas laikā un pēc īstenošanas projekta iesniedzēja un sadarbības partnera (Latvijas augstskolas) institūcijā regulāri tiks veikts digitalizācijas institucionālais pašvērtējums, adaptējot Eiropas Universitāšu asociācijas (EUA) </w:t>
            </w:r>
            <w:r w:rsidRPr="00646DA8">
              <w:lastRenderedPageBreak/>
              <w:t>piedāvāto ietvaru. Kur ir pieejams minētais EUA ietvars?</w:t>
            </w:r>
          </w:p>
        </w:tc>
        <w:tc>
          <w:tcPr>
            <w:tcW w:w="3504" w:type="pct"/>
            <w:shd w:val="clear" w:color="auto" w:fill="auto"/>
          </w:tcPr>
          <w:p w14:paraId="2B92AD7D" w14:textId="62D28E21" w:rsidR="003E4B89" w:rsidRPr="00646DA8" w:rsidRDefault="003E4B89" w:rsidP="003E4B89">
            <w:pPr>
              <w:rPr>
                <w:i/>
                <w:iCs/>
                <w:color w:val="0070C0"/>
              </w:rPr>
            </w:pPr>
            <w:r w:rsidRPr="00646DA8">
              <w:rPr>
                <w:i/>
                <w:iCs/>
                <w:color w:val="0070C0"/>
              </w:rPr>
              <w:lastRenderedPageBreak/>
              <w:t>Eiropas Universitāšu asociācijas (EUA) piedāvāto ietvaru var atrast šajā mājaslapā:</w:t>
            </w:r>
          </w:p>
          <w:p w14:paraId="798A9487" w14:textId="5D8EA65E" w:rsidR="003E4B89" w:rsidRPr="00646DA8" w:rsidRDefault="003E4B89" w:rsidP="003E4B89">
            <w:pPr>
              <w:rPr>
                <w:i/>
                <w:iCs/>
                <w:color w:val="0070C0"/>
                <w:lang w:eastAsia="lv-LV"/>
              </w:rPr>
            </w:pPr>
            <w:hyperlink r:id="rId6" w:history="1">
              <w:r w:rsidRPr="00646DA8">
                <w:rPr>
                  <w:rStyle w:val="Hyperlink"/>
                  <w:i/>
                  <w:iCs/>
                  <w:color w:val="0070C0"/>
                </w:rPr>
                <w:t>https://eua.eu/downloads/publications/digi-he%20desk%20research%20report.pdf</w:t>
              </w:r>
            </w:hyperlink>
          </w:p>
        </w:tc>
      </w:tr>
      <w:tr w:rsidR="003E4B89" w:rsidRPr="00646DA8" w14:paraId="74BBD3D6" w14:textId="77777777" w:rsidTr="00CF0349">
        <w:trPr>
          <w:trHeight w:val="537"/>
        </w:trPr>
        <w:tc>
          <w:tcPr>
            <w:tcW w:w="1496" w:type="pct"/>
            <w:shd w:val="clear" w:color="auto" w:fill="auto"/>
          </w:tcPr>
          <w:p w14:paraId="08A6E470" w14:textId="14E0C235" w:rsidR="003E4B89" w:rsidRPr="00646DA8" w:rsidRDefault="003E4B89" w:rsidP="003E4B89">
            <w:pPr>
              <w:jc w:val="left"/>
            </w:pPr>
            <w:r w:rsidRPr="00484EFB">
              <w:t>Vai projekts var norādīt sinerģiju ar citu šajā pašā atlasē iesniegtu projektu, atsaucoties uz cita projekta plānotajiem iznākuma rādītājiem. Šādu projektu plāno iesniegt projekta partneris</w:t>
            </w:r>
          </w:p>
        </w:tc>
        <w:tc>
          <w:tcPr>
            <w:tcW w:w="3504" w:type="pct"/>
            <w:shd w:val="clear" w:color="auto" w:fill="auto"/>
          </w:tcPr>
          <w:p w14:paraId="3C0C5D63" w14:textId="2FD07598" w:rsidR="003E4B89" w:rsidRPr="00484EFB" w:rsidRDefault="003E4B89" w:rsidP="003E4B89">
            <w:pPr>
              <w:rPr>
                <w:i/>
                <w:iCs/>
                <w:color w:val="0070C0"/>
              </w:rPr>
            </w:pPr>
            <w:r w:rsidRPr="00484EFB">
              <w:rPr>
                <w:i/>
                <w:iCs/>
                <w:color w:val="0070C0"/>
              </w:rPr>
              <w:t xml:space="preserve">Nē, projektā </w:t>
            </w:r>
            <w:r w:rsidRPr="00484EFB">
              <w:rPr>
                <w:b/>
                <w:bCs/>
                <w:i/>
                <w:iCs/>
                <w:color w:val="0070C0"/>
              </w:rPr>
              <w:t>nav jānorāda sinerģija</w:t>
            </w:r>
            <w:r w:rsidRPr="00484EFB">
              <w:rPr>
                <w:i/>
                <w:iCs/>
                <w:color w:val="0070C0"/>
              </w:rPr>
              <w:t xml:space="preserve"> ar citu šīs atlases projektu, jo projektiem nav jābūt savstarpēji saistītiem. Vienlaikus projektā ir </w:t>
            </w:r>
            <w:r w:rsidRPr="00484EFB">
              <w:rPr>
                <w:b/>
                <w:bCs/>
                <w:i/>
                <w:iCs/>
                <w:color w:val="0070C0"/>
              </w:rPr>
              <w:t>jānorāda nepārklāšanās ar citiem šīs atlases projektiem</w:t>
            </w:r>
            <w:r w:rsidRPr="00484EFB">
              <w:rPr>
                <w:i/>
                <w:iCs/>
                <w:color w:val="0070C0"/>
              </w:rPr>
              <w:t>, kuros ir pieteicies projekta iesniedzējs un sadarbības partneris. Kritērijs Nr.2.5. nosaka, ka “Projekta iesniegumā ir pamatota plānoto darbību saturiska nepārklāšanās ar citu 14.1.1.1. pasākuma projektu iesniegumu atlases ietvaros iesniegto pieteikumu (projekta iesniegumu) plānotajām darbībām, ja projekta iesniedzējs un sadarbības partneris plāno piedalīties citos 14.1.1.1. pasākuma projektos.</w:t>
            </w:r>
          </w:p>
          <w:p w14:paraId="05965EB4" w14:textId="0D6FE549" w:rsidR="003E4B89" w:rsidRPr="00646DA8" w:rsidRDefault="003E4B89" w:rsidP="003E4B89">
            <w:pPr>
              <w:rPr>
                <w:i/>
                <w:iCs/>
                <w:color w:val="0070C0"/>
              </w:rPr>
            </w:pPr>
            <w:r w:rsidRPr="00484EFB">
              <w:rPr>
                <w:i/>
                <w:iCs/>
                <w:color w:val="0070C0"/>
              </w:rPr>
              <w:t>Attiecībā uz iznākuma rādītāju</w:t>
            </w:r>
            <w:r>
              <w:rPr>
                <w:i/>
                <w:iCs/>
                <w:color w:val="0070C0"/>
              </w:rPr>
              <w:t xml:space="preserve">: </w:t>
            </w:r>
            <w:r w:rsidRPr="00484EFB">
              <w:rPr>
                <w:b/>
                <w:bCs/>
                <w:i/>
                <w:iCs/>
                <w:color w:val="0070C0"/>
              </w:rPr>
              <w:t>katra projekta iznākuma rādītājā</w:t>
            </w:r>
            <w:r w:rsidRPr="00484EFB">
              <w:rPr>
                <w:i/>
                <w:iCs/>
                <w:color w:val="0070C0"/>
              </w:rPr>
              <w:t xml:space="preserve"> (augstskolu skaits, kas ieviesušas digitalizācijas iniciatīvas) </w:t>
            </w:r>
            <w:r w:rsidRPr="00484EFB">
              <w:rPr>
                <w:b/>
                <w:bCs/>
                <w:i/>
                <w:iCs/>
                <w:color w:val="0070C0"/>
              </w:rPr>
              <w:t>ieskaita arī sadarbības partneru augstskolas</w:t>
            </w:r>
            <w:r w:rsidRPr="00484EFB">
              <w:rPr>
                <w:i/>
                <w:iCs/>
                <w:color w:val="0070C0"/>
              </w:rPr>
              <w:t>, bet 14.1.1.1. pasākumā kopumā iznākuma rādītājs (MK noteikumos norādītais - 7 augstskolas) veidosies no unikālo augstskolu skaita (katra augstskola tiks ieskaitīta vienu reizi).</w:t>
            </w:r>
          </w:p>
        </w:tc>
      </w:tr>
      <w:tr w:rsidR="003E4B89" w:rsidRPr="00646DA8" w14:paraId="211A8B3A" w14:textId="77777777" w:rsidTr="00CF0349">
        <w:trPr>
          <w:trHeight w:val="537"/>
        </w:trPr>
        <w:tc>
          <w:tcPr>
            <w:tcW w:w="1496" w:type="pct"/>
            <w:shd w:val="clear" w:color="auto" w:fill="auto"/>
          </w:tcPr>
          <w:p w14:paraId="53B4152A" w14:textId="729850B7" w:rsidR="003E4B89" w:rsidRPr="00484EFB" w:rsidRDefault="003E4B89" w:rsidP="003E4B89">
            <w:pPr>
              <w:jc w:val="left"/>
            </w:pPr>
            <w:r>
              <w:t xml:space="preserve">Ņemot vērā, ka </w:t>
            </w:r>
            <w:r w:rsidRPr="003E4B89">
              <w:t>sadarbības partnera apliecinājum</w:t>
            </w:r>
            <w:r>
              <w:t>u</w:t>
            </w:r>
            <w:r w:rsidRPr="003E4B89">
              <w:t xml:space="preserve"> par gatavību piedalīties projekta īstenošanā</w:t>
            </w:r>
            <w:r>
              <w:t xml:space="preserve"> ir jāiesniedz brīvā formā, kādu informāciju šajā apliecinājumā būtu jāietver?</w:t>
            </w:r>
          </w:p>
        </w:tc>
        <w:tc>
          <w:tcPr>
            <w:tcW w:w="3504" w:type="pct"/>
            <w:shd w:val="clear" w:color="auto" w:fill="auto"/>
          </w:tcPr>
          <w:p w14:paraId="2EF0CB12" w14:textId="1E6EA75D" w:rsidR="003E4B89" w:rsidRPr="003E4B89" w:rsidRDefault="003E4B89" w:rsidP="003E4B89">
            <w:pPr>
              <w:rPr>
                <w:b/>
                <w:bCs/>
                <w:i/>
                <w:iCs/>
                <w:color w:val="0070C0"/>
              </w:rPr>
            </w:pPr>
            <w:r w:rsidRPr="003E4B89">
              <w:rPr>
                <w:i/>
                <w:iCs/>
                <w:color w:val="0070C0"/>
              </w:rPr>
              <w:t>I</w:t>
            </w:r>
            <w:r w:rsidRPr="003E4B89">
              <w:rPr>
                <w:i/>
                <w:iCs/>
                <w:color w:val="0070C0"/>
              </w:rPr>
              <w:t>nformācij</w:t>
            </w:r>
            <w:r w:rsidRPr="003E4B89">
              <w:rPr>
                <w:i/>
                <w:iCs/>
                <w:color w:val="0070C0"/>
              </w:rPr>
              <w:t>a</w:t>
            </w:r>
            <w:r w:rsidRPr="003E4B89">
              <w:rPr>
                <w:i/>
                <w:iCs/>
                <w:color w:val="0070C0"/>
              </w:rPr>
              <w:t xml:space="preserve">, kuru būtu jānorada </w:t>
            </w:r>
            <w:r w:rsidRPr="003E4B89">
              <w:rPr>
                <w:b/>
                <w:bCs/>
                <w:i/>
                <w:iCs/>
                <w:color w:val="0070C0"/>
              </w:rPr>
              <w:t>s</w:t>
            </w:r>
            <w:r w:rsidRPr="003E4B89">
              <w:rPr>
                <w:b/>
                <w:bCs/>
                <w:i/>
                <w:iCs/>
                <w:color w:val="0070C0"/>
              </w:rPr>
              <w:t>adarbības partnera apliecinājum</w:t>
            </w:r>
            <w:r w:rsidRPr="003E4B89">
              <w:rPr>
                <w:b/>
                <w:bCs/>
                <w:i/>
                <w:iCs/>
                <w:color w:val="0070C0"/>
              </w:rPr>
              <w:t>ā</w:t>
            </w:r>
            <w:r w:rsidRPr="003E4B89">
              <w:rPr>
                <w:b/>
                <w:bCs/>
                <w:i/>
                <w:iCs/>
                <w:color w:val="0070C0"/>
              </w:rPr>
              <w:t xml:space="preserve"> par gatavību piedalīties projekta īstenošanā</w:t>
            </w:r>
          </w:p>
          <w:p w14:paraId="66AB2DB4" w14:textId="77777777" w:rsidR="003E4B89" w:rsidRPr="003E4B89" w:rsidRDefault="003E4B89" w:rsidP="003E4B89">
            <w:pPr>
              <w:numPr>
                <w:ilvl w:val="0"/>
                <w:numId w:val="22"/>
              </w:numPr>
              <w:spacing w:before="0" w:after="0"/>
              <w:jc w:val="left"/>
              <w:rPr>
                <w:rFonts w:eastAsia="Times New Roman"/>
                <w:i/>
                <w:iCs/>
                <w:color w:val="0070C0"/>
              </w:rPr>
            </w:pPr>
            <w:r w:rsidRPr="003E4B89">
              <w:rPr>
                <w:rFonts w:eastAsia="Times New Roman"/>
                <w:i/>
                <w:iCs/>
                <w:color w:val="0070C0"/>
              </w:rPr>
              <w:t>datums</w:t>
            </w:r>
          </w:p>
          <w:p w14:paraId="50054D1F" w14:textId="77777777" w:rsidR="003E4B89" w:rsidRPr="003E4B89" w:rsidRDefault="003E4B89" w:rsidP="003E4B89">
            <w:pPr>
              <w:numPr>
                <w:ilvl w:val="0"/>
                <w:numId w:val="22"/>
              </w:numPr>
              <w:spacing w:before="0" w:after="0"/>
              <w:jc w:val="left"/>
              <w:rPr>
                <w:rFonts w:eastAsia="Times New Roman"/>
                <w:i/>
                <w:iCs/>
                <w:color w:val="0070C0"/>
              </w:rPr>
            </w:pPr>
            <w:r w:rsidRPr="003E4B89">
              <w:rPr>
                <w:rFonts w:eastAsia="Times New Roman"/>
                <w:i/>
                <w:iCs/>
                <w:color w:val="0070C0"/>
              </w:rPr>
              <w:t>partnera institūcijas nosaukums, reģistrācijas nr.</w:t>
            </w:r>
          </w:p>
          <w:p w14:paraId="766C8C54" w14:textId="77777777" w:rsidR="003E4B89" w:rsidRPr="003E4B89" w:rsidRDefault="003E4B89" w:rsidP="003E4B89">
            <w:pPr>
              <w:numPr>
                <w:ilvl w:val="0"/>
                <w:numId w:val="22"/>
              </w:numPr>
              <w:spacing w:before="0" w:after="0"/>
              <w:jc w:val="left"/>
              <w:rPr>
                <w:rFonts w:eastAsia="Times New Roman"/>
                <w:i/>
                <w:iCs/>
                <w:color w:val="0070C0"/>
              </w:rPr>
            </w:pPr>
            <w:r w:rsidRPr="003E4B89">
              <w:rPr>
                <w:rFonts w:eastAsia="Times New Roman"/>
                <w:i/>
                <w:iCs/>
                <w:color w:val="0070C0"/>
              </w:rPr>
              <w:t>pārstāvja amats, vārds, uzvārds</w:t>
            </w:r>
          </w:p>
          <w:p w14:paraId="3D506C33" w14:textId="77777777" w:rsidR="003E4B89" w:rsidRPr="003E4B89" w:rsidRDefault="003E4B89" w:rsidP="003E4B89">
            <w:pPr>
              <w:numPr>
                <w:ilvl w:val="0"/>
                <w:numId w:val="22"/>
              </w:numPr>
              <w:spacing w:before="0" w:after="0"/>
              <w:jc w:val="left"/>
              <w:rPr>
                <w:rFonts w:eastAsia="Times New Roman"/>
                <w:i/>
                <w:iCs/>
                <w:color w:val="0070C0"/>
              </w:rPr>
            </w:pPr>
            <w:r w:rsidRPr="003E4B89">
              <w:rPr>
                <w:rFonts w:eastAsia="Times New Roman"/>
                <w:i/>
                <w:iCs/>
                <w:color w:val="0070C0"/>
              </w:rPr>
              <w:t xml:space="preserve">projekta nosaukums (vēl papildu var uzsvērt </w:t>
            </w:r>
            <w:r w:rsidRPr="003E4B89">
              <w:rPr>
                <w:rFonts w:eastAsia="Times New Roman"/>
                <w:i/>
                <w:iCs/>
                <w:color w:val="0070C0"/>
                <w:u w:val="single"/>
              </w:rPr>
              <w:t>SAM nosaukumu</w:t>
            </w:r>
            <w:r w:rsidRPr="003E4B89">
              <w:rPr>
                <w:rFonts w:eastAsia="Times New Roman"/>
                <w:i/>
                <w:iCs/>
                <w:color w:val="0070C0"/>
              </w:rPr>
              <w:t>)</w:t>
            </w:r>
          </w:p>
          <w:p w14:paraId="5153B9C4" w14:textId="77777777" w:rsidR="003E4B89" w:rsidRPr="003E4B89" w:rsidRDefault="003E4B89" w:rsidP="003E4B89">
            <w:pPr>
              <w:numPr>
                <w:ilvl w:val="0"/>
                <w:numId w:val="22"/>
              </w:numPr>
              <w:spacing w:before="0" w:after="0"/>
              <w:jc w:val="left"/>
              <w:rPr>
                <w:rFonts w:eastAsia="Times New Roman"/>
                <w:i/>
                <w:iCs/>
                <w:color w:val="0070C0"/>
              </w:rPr>
            </w:pPr>
            <w:r w:rsidRPr="003E4B89">
              <w:rPr>
                <w:rFonts w:eastAsia="Times New Roman"/>
                <w:i/>
                <w:iCs/>
                <w:color w:val="0070C0"/>
              </w:rPr>
              <w:t xml:space="preserve">kādu uzticēto uzdevumu veikšanā piedalīsies </w:t>
            </w:r>
          </w:p>
          <w:p w14:paraId="3E9CD169" w14:textId="4F2ADFF3" w:rsidR="003E4B89" w:rsidRPr="003E4B89" w:rsidRDefault="003E4B89" w:rsidP="003E4B89">
            <w:pPr>
              <w:numPr>
                <w:ilvl w:val="0"/>
                <w:numId w:val="22"/>
              </w:numPr>
              <w:spacing w:before="0" w:after="240"/>
              <w:ind w:left="714" w:hanging="357"/>
              <w:jc w:val="left"/>
              <w:rPr>
                <w:rFonts w:eastAsia="Times New Roman"/>
                <w:i/>
                <w:iCs/>
                <w:color w:val="0070C0"/>
              </w:rPr>
            </w:pPr>
            <w:r w:rsidRPr="003E4B89">
              <w:rPr>
                <w:rFonts w:eastAsia="Times New Roman"/>
                <w:i/>
                <w:iCs/>
                <w:color w:val="0070C0"/>
              </w:rPr>
              <w:t>abu partneru paraksti (amats, paraksts, paraksta atšifrējums, datums un sastādīšanas vieta) – var parakstīt ar drošu elektronisko parakstu (tad vietā “paraksts” norāda</w:t>
            </w:r>
            <w:r w:rsidRPr="003E4B89">
              <w:rPr>
                <w:rFonts w:eastAsia="Times New Roman"/>
                <w:i/>
                <w:iCs/>
                <w:color w:val="0070C0"/>
                <w:u w:val="single"/>
              </w:rPr>
              <w:t>, parakstīts ar drošu elektronisko parakstu</w:t>
            </w:r>
            <w:r w:rsidRPr="003E4B89">
              <w:rPr>
                <w:rFonts w:eastAsia="Times New Roman"/>
                <w:i/>
                <w:iCs/>
                <w:color w:val="0070C0"/>
              </w:rPr>
              <w:t>)</w:t>
            </w:r>
          </w:p>
        </w:tc>
      </w:tr>
      <w:tr w:rsidR="003E4B89" w:rsidRPr="00646DA8" w14:paraId="2B0F1BFF" w14:textId="77777777" w:rsidTr="00C6343E">
        <w:trPr>
          <w:trHeight w:val="321"/>
        </w:trPr>
        <w:tc>
          <w:tcPr>
            <w:tcW w:w="5000" w:type="pct"/>
            <w:gridSpan w:val="2"/>
            <w:shd w:val="clear" w:color="auto" w:fill="A8D08D" w:themeFill="accent6" w:themeFillTint="99"/>
            <w:vAlign w:val="center"/>
          </w:tcPr>
          <w:p w14:paraId="16ADF7FB" w14:textId="00B188ED" w:rsidR="003E4B89" w:rsidRPr="00251C0D" w:rsidRDefault="003E4B89" w:rsidP="003E4B89">
            <w:pPr>
              <w:pStyle w:val="Heading1"/>
            </w:pPr>
            <w:bookmarkStart w:id="13" w:name="_Toc20918693"/>
            <w:bookmarkStart w:id="14" w:name="_Toc46148098"/>
            <w:bookmarkStart w:id="15" w:name="_Toc100667643"/>
            <w:r w:rsidRPr="00646DA8">
              <w:t>Personāls</w:t>
            </w:r>
            <w:bookmarkEnd w:id="13"/>
            <w:bookmarkEnd w:id="14"/>
            <w:r>
              <w:t>/Partneri</w:t>
            </w:r>
            <w:bookmarkEnd w:id="15"/>
          </w:p>
        </w:tc>
      </w:tr>
      <w:tr w:rsidR="003E4B89" w:rsidRPr="00646DA8" w14:paraId="1BE818FC" w14:textId="77777777" w:rsidTr="00230F47">
        <w:trPr>
          <w:trHeight w:val="274"/>
        </w:trPr>
        <w:tc>
          <w:tcPr>
            <w:tcW w:w="1496" w:type="pct"/>
            <w:shd w:val="clear" w:color="auto" w:fill="auto"/>
            <w:vAlign w:val="center"/>
          </w:tcPr>
          <w:p w14:paraId="284DA5BB" w14:textId="396D4C9A" w:rsidR="003E4B89" w:rsidRPr="00646DA8" w:rsidRDefault="003E4B89" w:rsidP="003E4B89">
            <w:pPr>
              <w:pStyle w:val="PlainText"/>
              <w:rPr>
                <w:rFonts w:ascii="Times New Roman" w:eastAsia="Times New Roman" w:hAnsi="Times New Roman" w:cs="Times New Roman"/>
                <w:lang w:val="lv-LV" w:eastAsia="lv-LV"/>
              </w:rPr>
            </w:pPr>
            <w:r w:rsidRPr="00646DA8">
              <w:rPr>
                <w:rFonts w:ascii="Times New Roman" w:eastAsia="Times New Roman" w:hAnsi="Times New Roman" w:cs="Times New Roman"/>
                <w:lang w:val="lv-LV" w:eastAsia="lv-LV"/>
              </w:rPr>
              <w:t xml:space="preserve">Uz ko attiecas SAM MK </w:t>
            </w:r>
            <w:proofErr w:type="spellStart"/>
            <w:r w:rsidRPr="00646DA8">
              <w:rPr>
                <w:rFonts w:ascii="Times New Roman" w:eastAsia="Times New Roman" w:hAnsi="Times New Roman" w:cs="Times New Roman"/>
                <w:lang w:val="lv-LV" w:eastAsia="lv-LV"/>
              </w:rPr>
              <w:t>notteikumu</w:t>
            </w:r>
            <w:proofErr w:type="spellEnd"/>
            <w:r w:rsidRPr="00646DA8">
              <w:rPr>
                <w:rFonts w:ascii="Times New Roman" w:eastAsia="Times New Roman" w:hAnsi="Times New Roman" w:cs="Times New Roman"/>
                <w:lang w:val="lv-LV" w:eastAsia="lv-LV"/>
              </w:rPr>
              <w:t xml:space="preserve"> Nr. 836 17.2. apakšpunktā minētais termins "docētājs"?  Tikai akadēmiskais personāls - ievēlētie darbinieki vai arī vieslektori???</w:t>
            </w:r>
          </w:p>
        </w:tc>
        <w:tc>
          <w:tcPr>
            <w:tcW w:w="3504" w:type="pct"/>
            <w:shd w:val="clear" w:color="auto" w:fill="auto"/>
          </w:tcPr>
          <w:p w14:paraId="45DBCA2E" w14:textId="33A73BCC" w:rsidR="003E4B89" w:rsidRPr="00646DA8" w:rsidRDefault="003E4B89" w:rsidP="003E4B89">
            <w:pPr>
              <w:rPr>
                <w:rFonts w:cs="Times New Roman"/>
                <w:i/>
                <w:iCs/>
                <w:color w:val="0070C0"/>
              </w:rPr>
            </w:pPr>
            <w:r w:rsidRPr="00646DA8">
              <w:rPr>
                <w:rFonts w:cs="Times New Roman"/>
                <w:i/>
                <w:iCs/>
                <w:color w:val="0070C0"/>
              </w:rPr>
              <w:t xml:space="preserve">SAM MK noteikumu 17.2. apakšpunktā ar docētājiem domāti visi augstskolas mācībspēki, neatkarīgi no statusa (gan vēlētie, gan vieslektori, </w:t>
            </w:r>
            <w:proofErr w:type="spellStart"/>
            <w:r w:rsidRPr="00646DA8">
              <w:rPr>
                <w:rFonts w:cs="Times New Roman"/>
                <w:i/>
                <w:iCs/>
                <w:color w:val="0070C0"/>
              </w:rPr>
              <w:t>viesdocenti</w:t>
            </w:r>
            <w:proofErr w:type="spellEnd"/>
            <w:r w:rsidRPr="00646DA8">
              <w:rPr>
                <w:rFonts w:cs="Times New Roman"/>
                <w:i/>
                <w:iCs/>
                <w:color w:val="0070C0"/>
              </w:rPr>
              <w:t>, viesprofesori).</w:t>
            </w:r>
          </w:p>
        </w:tc>
      </w:tr>
      <w:tr w:rsidR="003E4B89" w:rsidRPr="00646DA8" w14:paraId="7B584075" w14:textId="77777777" w:rsidTr="005D6344">
        <w:trPr>
          <w:trHeight w:val="274"/>
        </w:trPr>
        <w:tc>
          <w:tcPr>
            <w:tcW w:w="1496" w:type="pct"/>
            <w:shd w:val="clear" w:color="auto" w:fill="auto"/>
          </w:tcPr>
          <w:p w14:paraId="6D60A523" w14:textId="06A6EDFC" w:rsidR="003E4B89" w:rsidRPr="00006DC7" w:rsidRDefault="003E4B89" w:rsidP="003E4B89">
            <w:pPr>
              <w:pStyle w:val="PlainText"/>
              <w:rPr>
                <w:rFonts w:ascii="Times New Roman" w:eastAsia="Times New Roman" w:hAnsi="Times New Roman" w:cs="Times New Roman"/>
                <w:lang w:val="lv-LV" w:eastAsia="lv-LV"/>
              </w:rPr>
            </w:pPr>
            <w:proofErr w:type="spellStart"/>
            <w:r w:rsidRPr="00006DC7">
              <w:rPr>
                <w:rFonts w:ascii="Times New Roman" w:hAnsi="Times New Roman" w:cs="Times New Roman"/>
              </w:rPr>
              <w:t>Vai</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projekta</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partneris</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šajā</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konkursā</w:t>
            </w:r>
            <w:proofErr w:type="spellEnd"/>
            <w:r w:rsidRPr="00006DC7">
              <w:rPr>
                <w:rFonts w:ascii="Times New Roman" w:hAnsi="Times New Roman" w:cs="Times New Roman"/>
              </w:rPr>
              <w:t xml:space="preserve"> var </w:t>
            </w:r>
            <w:proofErr w:type="spellStart"/>
            <w:r w:rsidRPr="00006DC7">
              <w:rPr>
                <w:rFonts w:ascii="Times New Roman" w:hAnsi="Times New Roman" w:cs="Times New Roman"/>
              </w:rPr>
              <w:t>būt</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koledža</w:t>
            </w:r>
            <w:proofErr w:type="spellEnd"/>
            <w:r w:rsidRPr="00006DC7">
              <w:rPr>
                <w:rFonts w:ascii="Times New Roman" w:hAnsi="Times New Roman" w:cs="Times New Roman"/>
              </w:rPr>
              <w:t>?</w:t>
            </w:r>
          </w:p>
        </w:tc>
        <w:tc>
          <w:tcPr>
            <w:tcW w:w="3504" w:type="pct"/>
            <w:shd w:val="clear" w:color="auto" w:fill="auto"/>
          </w:tcPr>
          <w:p w14:paraId="4D0492DF" w14:textId="77777777" w:rsidR="003E4B89" w:rsidRPr="00006DC7" w:rsidRDefault="003E4B89" w:rsidP="003E4B89">
            <w:pPr>
              <w:rPr>
                <w:rFonts w:cs="Times New Roman"/>
                <w:i/>
                <w:iCs/>
                <w:color w:val="0070C0"/>
              </w:rPr>
            </w:pPr>
            <w:r w:rsidRPr="00006DC7">
              <w:rPr>
                <w:rFonts w:cs="Times New Roman"/>
                <w:i/>
                <w:iCs/>
                <w:color w:val="0070C0"/>
              </w:rPr>
              <w:t xml:space="preserve">Koledža (izņemot augstskolu aģentūru) </w:t>
            </w:r>
            <w:r w:rsidRPr="00006DC7">
              <w:rPr>
                <w:rFonts w:cs="Times New Roman"/>
                <w:b/>
                <w:i/>
                <w:iCs/>
                <w:color w:val="0070C0"/>
              </w:rPr>
              <w:t>var būt sadarbības partneris</w:t>
            </w:r>
            <w:r w:rsidRPr="00006DC7">
              <w:rPr>
                <w:rFonts w:cs="Times New Roman"/>
                <w:i/>
                <w:iCs/>
                <w:color w:val="0070C0"/>
              </w:rPr>
              <w:t xml:space="preserve"> 14.1.1.1. pasākuma projektā atbilstoši 2021.gada 14.decembra MK noteikumu Nr.836 12.punktā noteiktajam, ka: “.. papildus obligātajiem diviem sadarbības partneriem projekta iesniedzējs projektu var īstenot arī ar vairākiem sadarbības partneriem, tai skaitā citām augstskolām, zinātniskajām institūcijām, </w:t>
            </w:r>
            <w:r w:rsidRPr="00006DC7">
              <w:rPr>
                <w:rFonts w:cs="Times New Roman"/>
                <w:b/>
                <w:i/>
                <w:iCs/>
                <w:color w:val="0070C0"/>
              </w:rPr>
              <w:t>privātajām vai publiskajām organizācijām</w:t>
            </w:r>
            <w:r w:rsidRPr="00006DC7">
              <w:rPr>
                <w:rFonts w:cs="Times New Roman"/>
                <w:i/>
                <w:iCs/>
                <w:color w:val="0070C0"/>
              </w:rPr>
              <w:t xml:space="preserve"> un ārvalstu augstskolām.</w:t>
            </w:r>
          </w:p>
          <w:p w14:paraId="438342F0" w14:textId="77777777" w:rsidR="003E4B89" w:rsidRPr="00006DC7" w:rsidRDefault="003E4B89" w:rsidP="003E4B89">
            <w:pPr>
              <w:rPr>
                <w:rFonts w:cs="Times New Roman"/>
                <w:i/>
                <w:iCs/>
                <w:color w:val="0070C0"/>
              </w:rPr>
            </w:pPr>
            <w:r w:rsidRPr="00006DC7">
              <w:rPr>
                <w:rFonts w:cs="Times New Roman"/>
                <w:b/>
                <w:bCs/>
                <w:i/>
                <w:iCs/>
                <w:color w:val="0070C0"/>
              </w:rPr>
              <w:t>Augstskolas aģentūru – koledžu</w:t>
            </w:r>
            <w:r w:rsidRPr="00006DC7">
              <w:rPr>
                <w:rFonts w:cs="Times New Roman"/>
                <w:i/>
                <w:iCs/>
                <w:color w:val="0070C0"/>
              </w:rPr>
              <w:t xml:space="preserve"> </w:t>
            </w:r>
            <w:r w:rsidRPr="00006DC7">
              <w:rPr>
                <w:rFonts w:cs="Times New Roman"/>
                <w:i/>
                <w:iCs/>
                <w:color w:val="0070C0"/>
                <w:u w:val="single"/>
              </w:rPr>
              <w:t>nevar piesaistīt kā projekta sadarbības partneri</w:t>
            </w:r>
            <w:r w:rsidRPr="00006DC7">
              <w:rPr>
                <w:rFonts w:cs="Times New Roman"/>
                <w:i/>
                <w:iCs/>
                <w:color w:val="0070C0"/>
              </w:rPr>
              <w:t>, vienlaikus projekta iesniedzējam ir jānodrošina, ka projektā ieviestie risinājumi tiks izmantoti arī augstskolas koledžā.</w:t>
            </w:r>
          </w:p>
          <w:p w14:paraId="1DABC76F" w14:textId="77777777" w:rsidR="003E4B89" w:rsidRPr="00006DC7" w:rsidRDefault="003E4B89" w:rsidP="003E4B89">
            <w:pPr>
              <w:rPr>
                <w:rFonts w:cs="Times New Roman"/>
                <w:i/>
                <w:iCs/>
                <w:color w:val="0070C0"/>
              </w:rPr>
            </w:pPr>
            <w:r w:rsidRPr="00006DC7">
              <w:rPr>
                <w:rFonts w:cs="Times New Roman"/>
                <w:i/>
                <w:iCs/>
                <w:color w:val="0070C0"/>
              </w:rPr>
              <w:lastRenderedPageBreak/>
              <w:t>Pašas koledžas nevar pieteikt projektu. Vienlaikus projekta iesniedzējam ir rūpīgi jāizvērtē, kādu pievienoto vērtību projektam dos koledža kā sadarbības partneris. Koledžas kā sadarbības partneri projektā var iesaistīties ar saviem cilvēkresursiem, bet nevar saņemt finansiālu atbalstu, piemēram, tehniskā aprīkojuma un licenču iegādē.</w:t>
            </w:r>
          </w:p>
          <w:p w14:paraId="620EA36C" w14:textId="77777777" w:rsidR="003E4B89" w:rsidRPr="00006DC7" w:rsidRDefault="003E4B89" w:rsidP="003E4B89">
            <w:pPr>
              <w:rPr>
                <w:rFonts w:cs="Times New Roman"/>
                <w:i/>
                <w:iCs/>
                <w:color w:val="0070C0"/>
              </w:rPr>
            </w:pPr>
            <w:r w:rsidRPr="00006DC7">
              <w:rPr>
                <w:rFonts w:cs="Times New Roman"/>
                <w:i/>
                <w:iCs/>
                <w:color w:val="0070C0"/>
              </w:rPr>
              <w:t>Pamatojums:</w:t>
            </w:r>
          </w:p>
          <w:p w14:paraId="66A0459E" w14:textId="77777777" w:rsidR="003E4B89" w:rsidRPr="00006DC7" w:rsidRDefault="003E4B89" w:rsidP="003E4B89">
            <w:pPr>
              <w:pStyle w:val="ListParagraph"/>
              <w:numPr>
                <w:ilvl w:val="0"/>
                <w:numId w:val="15"/>
              </w:numPr>
              <w:rPr>
                <w:i/>
                <w:iCs/>
                <w:color w:val="0070C0"/>
              </w:rPr>
            </w:pPr>
            <w:r w:rsidRPr="00006DC7">
              <w:rPr>
                <w:i/>
                <w:iCs/>
                <w:color w:val="0070C0"/>
              </w:rPr>
              <w:t xml:space="preserve">14.1.1.1.pasākuma </w:t>
            </w:r>
            <w:proofErr w:type="spellStart"/>
            <w:r w:rsidRPr="00006DC7">
              <w:rPr>
                <w:b/>
                <w:bCs/>
                <w:i/>
                <w:iCs/>
                <w:color w:val="0070C0"/>
              </w:rPr>
              <w:t>mērķa</w:t>
            </w:r>
            <w:proofErr w:type="spellEnd"/>
            <w:r w:rsidRPr="00006DC7">
              <w:rPr>
                <w:b/>
                <w:bCs/>
                <w:i/>
                <w:iCs/>
                <w:color w:val="0070C0"/>
              </w:rPr>
              <w:t xml:space="preserve"> </w:t>
            </w:r>
            <w:proofErr w:type="spellStart"/>
            <w:r w:rsidRPr="00006DC7">
              <w:rPr>
                <w:b/>
                <w:bCs/>
                <w:i/>
                <w:iCs/>
                <w:color w:val="0070C0"/>
              </w:rPr>
              <w:t>grupa</w:t>
            </w:r>
            <w:proofErr w:type="spellEnd"/>
            <w:r w:rsidRPr="00006DC7">
              <w:rPr>
                <w:b/>
                <w:bCs/>
                <w:i/>
                <w:iCs/>
                <w:color w:val="0070C0"/>
              </w:rPr>
              <w:t xml:space="preserve"> </w:t>
            </w:r>
            <w:proofErr w:type="spellStart"/>
            <w:r w:rsidRPr="00006DC7">
              <w:rPr>
                <w:b/>
                <w:bCs/>
                <w:i/>
                <w:iCs/>
                <w:color w:val="0070C0"/>
              </w:rPr>
              <w:t>ir</w:t>
            </w:r>
            <w:proofErr w:type="spellEnd"/>
            <w:r w:rsidRPr="00006DC7">
              <w:rPr>
                <w:b/>
                <w:bCs/>
                <w:i/>
                <w:iCs/>
                <w:color w:val="0070C0"/>
              </w:rPr>
              <w:t xml:space="preserve"> </w:t>
            </w:r>
            <w:proofErr w:type="spellStart"/>
            <w:r w:rsidRPr="00006DC7">
              <w:rPr>
                <w:b/>
                <w:bCs/>
                <w:i/>
                <w:iCs/>
                <w:color w:val="0070C0"/>
              </w:rPr>
              <w:t>augstskolas</w:t>
            </w:r>
            <w:proofErr w:type="spellEnd"/>
            <w:r w:rsidRPr="00006DC7">
              <w:rPr>
                <w:i/>
                <w:iCs/>
                <w:color w:val="0070C0"/>
              </w:rPr>
              <w:t xml:space="preserve"> un </w:t>
            </w:r>
            <w:proofErr w:type="spellStart"/>
            <w:r w:rsidRPr="00006DC7">
              <w:rPr>
                <w:i/>
                <w:iCs/>
                <w:color w:val="0070C0"/>
              </w:rPr>
              <w:t>rezultāta</w:t>
            </w:r>
            <w:proofErr w:type="spellEnd"/>
            <w:r w:rsidRPr="00006DC7">
              <w:rPr>
                <w:i/>
                <w:iCs/>
                <w:color w:val="0070C0"/>
              </w:rPr>
              <w:t xml:space="preserve"> </w:t>
            </w:r>
            <w:proofErr w:type="spellStart"/>
            <w:r w:rsidRPr="00006DC7">
              <w:rPr>
                <w:i/>
                <w:iCs/>
                <w:color w:val="0070C0"/>
              </w:rPr>
              <w:t>rādītājs</w:t>
            </w:r>
            <w:proofErr w:type="spellEnd"/>
            <w:r w:rsidRPr="00006DC7">
              <w:rPr>
                <w:i/>
                <w:iCs/>
                <w:color w:val="0070C0"/>
              </w:rPr>
              <w:t xml:space="preserve"> </w:t>
            </w:r>
            <w:proofErr w:type="spellStart"/>
            <w:r w:rsidRPr="00006DC7">
              <w:rPr>
                <w:i/>
                <w:iCs/>
                <w:color w:val="0070C0"/>
              </w:rPr>
              <w:t>ir</w:t>
            </w:r>
            <w:proofErr w:type="spellEnd"/>
            <w:r w:rsidRPr="00006DC7">
              <w:rPr>
                <w:i/>
                <w:iCs/>
                <w:color w:val="0070C0"/>
              </w:rPr>
              <w:t xml:space="preserve"> </w:t>
            </w:r>
            <w:proofErr w:type="spellStart"/>
            <w:r w:rsidRPr="00006DC7">
              <w:rPr>
                <w:b/>
                <w:bCs/>
                <w:i/>
                <w:iCs/>
                <w:color w:val="0070C0"/>
              </w:rPr>
              <w:t>augstskolu</w:t>
            </w:r>
            <w:proofErr w:type="spellEnd"/>
            <w:r w:rsidRPr="00006DC7">
              <w:rPr>
                <w:b/>
                <w:bCs/>
                <w:i/>
                <w:iCs/>
                <w:color w:val="0070C0"/>
              </w:rPr>
              <w:t xml:space="preserve"> </w:t>
            </w:r>
            <w:proofErr w:type="spellStart"/>
            <w:r w:rsidRPr="00006DC7">
              <w:rPr>
                <w:b/>
                <w:bCs/>
                <w:i/>
                <w:iCs/>
                <w:color w:val="0070C0"/>
              </w:rPr>
              <w:t>skaits</w:t>
            </w:r>
            <w:proofErr w:type="spellEnd"/>
            <w:r w:rsidRPr="00006DC7">
              <w:rPr>
                <w:i/>
                <w:iCs/>
                <w:color w:val="0070C0"/>
              </w:rPr>
              <w:t xml:space="preserve">, </w:t>
            </w:r>
            <w:proofErr w:type="spellStart"/>
            <w:r w:rsidRPr="00006DC7">
              <w:rPr>
                <w:i/>
                <w:iCs/>
                <w:color w:val="0070C0"/>
              </w:rPr>
              <w:t>kuras</w:t>
            </w:r>
            <w:proofErr w:type="spellEnd"/>
            <w:r w:rsidRPr="00006DC7">
              <w:rPr>
                <w:i/>
                <w:iCs/>
                <w:color w:val="0070C0"/>
              </w:rPr>
              <w:t xml:space="preserve"> </w:t>
            </w:r>
            <w:proofErr w:type="spellStart"/>
            <w:r w:rsidRPr="00006DC7">
              <w:rPr>
                <w:i/>
                <w:iCs/>
                <w:color w:val="0070C0"/>
              </w:rPr>
              <w:t>ieviesušas</w:t>
            </w:r>
            <w:proofErr w:type="spellEnd"/>
            <w:r w:rsidRPr="00006DC7">
              <w:rPr>
                <w:i/>
                <w:iCs/>
                <w:color w:val="0070C0"/>
              </w:rPr>
              <w:t xml:space="preserve"> digitalizācijas </w:t>
            </w:r>
            <w:proofErr w:type="spellStart"/>
            <w:r w:rsidRPr="00006DC7">
              <w:rPr>
                <w:i/>
                <w:iCs/>
                <w:color w:val="0070C0"/>
              </w:rPr>
              <w:t>iniciatīvas</w:t>
            </w:r>
            <w:proofErr w:type="spellEnd"/>
            <w:r w:rsidRPr="00006DC7">
              <w:rPr>
                <w:i/>
                <w:iCs/>
                <w:color w:val="0070C0"/>
              </w:rPr>
              <w:t xml:space="preserve">, kas </w:t>
            </w:r>
            <w:proofErr w:type="spellStart"/>
            <w:r w:rsidRPr="00006DC7">
              <w:rPr>
                <w:i/>
                <w:iCs/>
                <w:color w:val="0070C0"/>
              </w:rPr>
              <w:t>veicina</w:t>
            </w:r>
            <w:proofErr w:type="spellEnd"/>
            <w:r w:rsidRPr="00006DC7">
              <w:rPr>
                <w:i/>
                <w:iCs/>
                <w:color w:val="0070C0"/>
              </w:rPr>
              <w:t xml:space="preserve"> </w:t>
            </w:r>
            <w:proofErr w:type="spellStart"/>
            <w:r w:rsidRPr="00006DC7">
              <w:rPr>
                <w:i/>
                <w:iCs/>
                <w:color w:val="0070C0"/>
              </w:rPr>
              <w:t>mūsdienīgu</w:t>
            </w:r>
            <w:proofErr w:type="spellEnd"/>
            <w:r w:rsidRPr="00006DC7">
              <w:rPr>
                <w:i/>
                <w:iCs/>
                <w:color w:val="0070C0"/>
              </w:rPr>
              <w:t xml:space="preserve">, </w:t>
            </w:r>
            <w:proofErr w:type="spellStart"/>
            <w:r w:rsidRPr="00006DC7">
              <w:rPr>
                <w:i/>
                <w:iCs/>
                <w:color w:val="0070C0"/>
              </w:rPr>
              <w:t>inovatīvos</w:t>
            </w:r>
            <w:proofErr w:type="spellEnd"/>
            <w:r w:rsidRPr="00006DC7">
              <w:rPr>
                <w:i/>
                <w:iCs/>
                <w:color w:val="0070C0"/>
              </w:rPr>
              <w:t xml:space="preserve"> </w:t>
            </w:r>
            <w:proofErr w:type="spellStart"/>
            <w:r w:rsidRPr="00006DC7">
              <w:rPr>
                <w:i/>
                <w:iCs/>
                <w:color w:val="0070C0"/>
              </w:rPr>
              <w:t>tehnoloģiskos</w:t>
            </w:r>
            <w:proofErr w:type="spellEnd"/>
            <w:r w:rsidRPr="00006DC7">
              <w:rPr>
                <w:i/>
                <w:iCs/>
                <w:color w:val="0070C0"/>
              </w:rPr>
              <w:t xml:space="preserve"> </w:t>
            </w:r>
            <w:proofErr w:type="spellStart"/>
            <w:r w:rsidRPr="00006DC7">
              <w:rPr>
                <w:i/>
                <w:iCs/>
                <w:color w:val="0070C0"/>
              </w:rPr>
              <w:t>risinājumos</w:t>
            </w:r>
            <w:proofErr w:type="spellEnd"/>
            <w:r w:rsidRPr="00006DC7">
              <w:rPr>
                <w:i/>
                <w:iCs/>
                <w:color w:val="0070C0"/>
              </w:rPr>
              <w:t xml:space="preserve"> </w:t>
            </w:r>
            <w:proofErr w:type="spellStart"/>
            <w:r w:rsidRPr="00006DC7">
              <w:rPr>
                <w:i/>
                <w:iCs/>
                <w:color w:val="0070C0"/>
              </w:rPr>
              <w:t>balstītu</w:t>
            </w:r>
            <w:proofErr w:type="spellEnd"/>
            <w:r w:rsidRPr="00006DC7">
              <w:rPr>
                <w:i/>
                <w:iCs/>
                <w:color w:val="0070C0"/>
              </w:rPr>
              <w:t xml:space="preserve"> </w:t>
            </w:r>
            <w:proofErr w:type="spellStart"/>
            <w:r w:rsidRPr="00006DC7">
              <w:rPr>
                <w:i/>
                <w:iCs/>
                <w:color w:val="0070C0"/>
              </w:rPr>
              <w:t>studiju</w:t>
            </w:r>
            <w:proofErr w:type="spellEnd"/>
            <w:r w:rsidRPr="00006DC7">
              <w:rPr>
                <w:i/>
                <w:iCs/>
                <w:color w:val="0070C0"/>
              </w:rPr>
              <w:t xml:space="preserve"> </w:t>
            </w:r>
            <w:proofErr w:type="spellStart"/>
            <w:r w:rsidRPr="00006DC7">
              <w:rPr>
                <w:i/>
                <w:iCs/>
                <w:color w:val="0070C0"/>
              </w:rPr>
              <w:t>procesu</w:t>
            </w:r>
            <w:proofErr w:type="spellEnd"/>
            <w:r w:rsidRPr="00006DC7">
              <w:rPr>
                <w:i/>
                <w:iCs/>
                <w:color w:val="0070C0"/>
              </w:rPr>
              <w:t xml:space="preserve">. </w:t>
            </w:r>
            <w:proofErr w:type="spellStart"/>
            <w:r w:rsidRPr="00006DC7">
              <w:rPr>
                <w:i/>
                <w:iCs/>
                <w:color w:val="0070C0"/>
              </w:rPr>
              <w:t>Atbilstoši</w:t>
            </w:r>
            <w:proofErr w:type="spellEnd"/>
            <w:r w:rsidRPr="00006DC7">
              <w:rPr>
                <w:i/>
                <w:iCs/>
                <w:color w:val="0070C0"/>
              </w:rPr>
              <w:t xml:space="preserve"> MK </w:t>
            </w:r>
            <w:proofErr w:type="spellStart"/>
            <w:r w:rsidRPr="00006DC7">
              <w:rPr>
                <w:i/>
                <w:iCs/>
                <w:color w:val="0070C0"/>
              </w:rPr>
              <w:t>noteikumu</w:t>
            </w:r>
            <w:proofErr w:type="spellEnd"/>
            <w:r w:rsidRPr="00006DC7">
              <w:rPr>
                <w:i/>
                <w:iCs/>
                <w:color w:val="0070C0"/>
              </w:rPr>
              <w:t xml:space="preserve"> Nr.836 2.1. </w:t>
            </w:r>
            <w:proofErr w:type="spellStart"/>
            <w:r w:rsidRPr="00006DC7">
              <w:rPr>
                <w:i/>
                <w:iCs/>
                <w:color w:val="0070C0"/>
              </w:rPr>
              <w:t>apakšpunktam</w:t>
            </w:r>
            <w:proofErr w:type="spellEnd"/>
            <w:r w:rsidRPr="00006DC7">
              <w:rPr>
                <w:i/>
                <w:iCs/>
                <w:color w:val="0070C0"/>
              </w:rPr>
              <w:t xml:space="preserve"> </w:t>
            </w:r>
            <w:proofErr w:type="spellStart"/>
            <w:r w:rsidRPr="00006DC7">
              <w:rPr>
                <w:i/>
                <w:iCs/>
                <w:color w:val="0070C0"/>
              </w:rPr>
              <w:t>augstskola</w:t>
            </w:r>
            <w:proofErr w:type="spellEnd"/>
            <w:r w:rsidRPr="00006DC7">
              <w:rPr>
                <w:i/>
                <w:iCs/>
                <w:color w:val="0070C0"/>
              </w:rPr>
              <w:t xml:space="preserve"> </w:t>
            </w:r>
            <w:proofErr w:type="spellStart"/>
            <w:r w:rsidRPr="00006DC7">
              <w:rPr>
                <w:i/>
                <w:iCs/>
                <w:color w:val="0070C0"/>
              </w:rPr>
              <w:t>saskaņā</w:t>
            </w:r>
            <w:proofErr w:type="spellEnd"/>
            <w:r w:rsidRPr="00006DC7">
              <w:rPr>
                <w:i/>
                <w:iCs/>
                <w:color w:val="0070C0"/>
              </w:rPr>
              <w:t xml:space="preserve"> </w:t>
            </w:r>
            <w:proofErr w:type="spellStart"/>
            <w:r w:rsidRPr="00006DC7">
              <w:rPr>
                <w:i/>
                <w:iCs/>
                <w:color w:val="0070C0"/>
              </w:rPr>
              <w:t>ar</w:t>
            </w:r>
            <w:proofErr w:type="spellEnd"/>
            <w:r w:rsidRPr="00006DC7">
              <w:rPr>
                <w:i/>
                <w:iCs/>
                <w:color w:val="0070C0"/>
              </w:rPr>
              <w:t> </w:t>
            </w:r>
            <w:proofErr w:type="spellStart"/>
            <w:r w:rsidRPr="00006DC7">
              <w:fldChar w:fldCharType="begin"/>
            </w:r>
            <w:r w:rsidRPr="00006DC7">
              <w:rPr>
                <w:i/>
                <w:iCs/>
                <w:color w:val="0070C0"/>
              </w:rPr>
              <w:instrText xml:space="preserve"> HYPERLINK "https://likumi.lv/ta/id/37967-augstskolu-likums" \t "_blank" </w:instrText>
            </w:r>
            <w:r w:rsidRPr="00006DC7">
              <w:fldChar w:fldCharType="separate"/>
            </w:r>
            <w:r w:rsidRPr="00006DC7">
              <w:rPr>
                <w:rStyle w:val="Hyperlink"/>
                <w:i/>
                <w:iCs/>
                <w:color w:val="0070C0"/>
              </w:rPr>
              <w:t>Augstskolu</w:t>
            </w:r>
            <w:proofErr w:type="spellEnd"/>
            <w:r w:rsidRPr="00006DC7">
              <w:rPr>
                <w:rStyle w:val="Hyperlink"/>
                <w:i/>
                <w:iCs/>
                <w:color w:val="0070C0"/>
              </w:rPr>
              <w:t xml:space="preserve"> </w:t>
            </w:r>
            <w:proofErr w:type="spellStart"/>
            <w:r w:rsidRPr="00006DC7">
              <w:rPr>
                <w:rStyle w:val="Hyperlink"/>
                <w:i/>
                <w:iCs/>
                <w:color w:val="0070C0"/>
              </w:rPr>
              <w:t>likumu</w:t>
            </w:r>
            <w:proofErr w:type="spellEnd"/>
            <w:r w:rsidRPr="00006DC7">
              <w:rPr>
                <w:rStyle w:val="Hyperlink"/>
                <w:i/>
                <w:iCs/>
                <w:color w:val="0070C0"/>
              </w:rPr>
              <w:fldChar w:fldCharType="end"/>
            </w:r>
            <w:r w:rsidRPr="00006DC7">
              <w:rPr>
                <w:i/>
                <w:iCs/>
                <w:color w:val="0070C0"/>
              </w:rPr>
              <w:t> </w:t>
            </w:r>
            <w:proofErr w:type="spellStart"/>
            <w:r w:rsidRPr="00006DC7">
              <w:rPr>
                <w:i/>
                <w:iCs/>
                <w:color w:val="0070C0"/>
              </w:rPr>
              <w:t>ir</w:t>
            </w:r>
            <w:proofErr w:type="spellEnd"/>
            <w:r w:rsidRPr="00006DC7">
              <w:rPr>
                <w:i/>
                <w:iCs/>
                <w:color w:val="0070C0"/>
              </w:rPr>
              <w:t xml:space="preserve"> </w:t>
            </w:r>
            <w:proofErr w:type="spellStart"/>
            <w:r w:rsidRPr="00006DC7">
              <w:rPr>
                <w:i/>
                <w:iCs/>
                <w:color w:val="0070C0"/>
              </w:rPr>
              <w:t>valsts</w:t>
            </w:r>
            <w:proofErr w:type="spellEnd"/>
            <w:r w:rsidRPr="00006DC7">
              <w:rPr>
                <w:i/>
                <w:iCs/>
                <w:color w:val="0070C0"/>
              </w:rPr>
              <w:t xml:space="preserve"> </w:t>
            </w:r>
            <w:proofErr w:type="spellStart"/>
            <w:r w:rsidRPr="00006DC7">
              <w:rPr>
                <w:i/>
                <w:iCs/>
                <w:color w:val="0070C0"/>
              </w:rPr>
              <w:t>vai</w:t>
            </w:r>
            <w:proofErr w:type="spellEnd"/>
            <w:r w:rsidRPr="00006DC7">
              <w:rPr>
                <w:i/>
                <w:iCs/>
                <w:color w:val="0070C0"/>
              </w:rPr>
              <w:t xml:space="preserve"> </w:t>
            </w:r>
            <w:proofErr w:type="spellStart"/>
            <w:r w:rsidRPr="00006DC7">
              <w:rPr>
                <w:i/>
                <w:iCs/>
                <w:color w:val="0070C0"/>
              </w:rPr>
              <w:t>privātpersonas</w:t>
            </w:r>
            <w:proofErr w:type="spellEnd"/>
            <w:r w:rsidRPr="00006DC7">
              <w:rPr>
                <w:i/>
                <w:iCs/>
                <w:color w:val="0070C0"/>
              </w:rPr>
              <w:t xml:space="preserve"> </w:t>
            </w:r>
            <w:proofErr w:type="spellStart"/>
            <w:r w:rsidRPr="00006DC7">
              <w:rPr>
                <w:i/>
                <w:iCs/>
                <w:color w:val="0070C0"/>
              </w:rPr>
              <w:t>dibināta</w:t>
            </w:r>
            <w:proofErr w:type="spellEnd"/>
            <w:r w:rsidRPr="00006DC7">
              <w:rPr>
                <w:i/>
                <w:iCs/>
                <w:color w:val="0070C0"/>
              </w:rPr>
              <w:t xml:space="preserve"> un </w:t>
            </w:r>
            <w:proofErr w:type="spellStart"/>
            <w:r w:rsidRPr="00006DC7">
              <w:rPr>
                <w:i/>
                <w:iCs/>
                <w:color w:val="0070C0"/>
              </w:rPr>
              <w:t>noteiktā</w:t>
            </w:r>
            <w:proofErr w:type="spellEnd"/>
            <w:r w:rsidRPr="00006DC7">
              <w:rPr>
                <w:i/>
                <w:iCs/>
                <w:color w:val="0070C0"/>
              </w:rPr>
              <w:t xml:space="preserve"> </w:t>
            </w:r>
            <w:proofErr w:type="spellStart"/>
            <w:r w:rsidRPr="00006DC7">
              <w:rPr>
                <w:i/>
                <w:iCs/>
                <w:color w:val="0070C0"/>
              </w:rPr>
              <w:t>kārtībā</w:t>
            </w:r>
            <w:proofErr w:type="spellEnd"/>
            <w:r w:rsidRPr="00006DC7">
              <w:rPr>
                <w:i/>
                <w:iCs/>
                <w:color w:val="0070C0"/>
              </w:rPr>
              <w:t xml:space="preserve"> </w:t>
            </w:r>
            <w:proofErr w:type="spellStart"/>
            <w:r w:rsidRPr="00006DC7">
              <w:rPr>
                <w:i/>
                <w:iCs/>
                <w:color w:val="0070C0"/>
              </w:rPr>
              <w:t>Latvijas</w:t>
            </w:r>
            <w:proofErr w:type="spellEnd"/>
            <w:r w:rsidRPr="00006DC7">
              <w:rPr>
                <w:i/>
                <w:iCs/>
                <w:color w:val="0070C0"/>
              </w:rPr>
              <w:t xml:space="preserve"> </w:t>
            </w:r>
            <w:proofErr w:type="spellStart"/>
            <w:r w:rsidRPr="00006DC7">
              <w:rPr>
                <w:i/>
                <w:iCs/>
                <w:color w:val="0070C0"/>
              </w:rPr>
              <w:t>Republikā</w:t>
            </w:r>
            <w:proofErr w:type="spellEnd"/>
            <w:r w:rsidRPr="00006DC7">
              <w:rPr>
                <w:i/>
                <w:iCs/>
                <w:color w:val="0070C0"/>
              </w:rPr>
              <w:t xml:space="preserve"> </w:t>
            </w:r>
            <w:proofErr w:type="spellStart"/>
            <w:r w:rsidRPr="00006DC7">
              <w:rPr>
                <w:i/>
                <w:iCs/>
                <w:color w:val="0070C0"/>
              </w:rPr>
              <w:t>reģistrēta</w:t>
            </w:r>
            <w:proofErr w:type="spellEnd"/>
            <w:r w:rsidRPr="00006DC7">
              <w:rPr>
                <w:i/>
                <w:iCs/>
                <w:color w:val="0070C0"/>
              </w:rPr>
              <w:t xml:space="preserve"> un </w:t>
            </w:r>
            <w:proofErr w:type="spellStart"/>
            <w:r w:rsidRPr="00006DC7">
              <w:rPr>
                <w:i/>
                <w:iCs/>
                <w:color w:val="0070C0"/>
              </w:rPr>
              <w:t>akreditēta</w:t>
            </w:r>
            <w:proofErr w:type="spellEnd"/>
            <w:r w:rsidRPr="00006DC7">
              <w:rPr>
                <w:i/>
                <w:iCs/>
                <w:color w:val="0070C0"/>
              </w:rPr>
              <w:t xml:space="preserve"> </w:t>
            </w:r>
            <w:proofErr w:type="spellStart"/>
            <w:r w:rsidRPr="00006DC7">
              <w:rPr>
                <w:i/>
                <w:iCs/>
                <w:color w:val="0070C0"/>
              </w:rPr>
              <w:t>augstskola</w:t>
            </w:r>
            <w:proofErr w:type="spellEnd"/>
            <w:r w:rsidRPr="00006DC7">
              <w:rPr>
                <w:i/>
                <w:iCs/>
                <w:color w:val="0070C0"/>
              </w:rPr>
              <w:t xml:space="preserve">. </w:t>
            </w:r>
          </w:p>
          <w:p w14:paraId="2D9BA101" w14:textId="77777777" w:rsidR="003E4B89" w:rsidRPr="00006DC7" w:rsidRDefault="003E4B89" w:rsidP="003E4B89">
            <w:pPr>
              <w:pStyle w:val="ListParagraph"/>
              <w:numPr>
                <w:ilvl w:val="0"/>
                <w:numId w:val="15"/>
              </w:numPr>
              <w:rPr>
                <w:i/>
                <w:iCs/>
                <w:color w:val="0070C0"/>
              </w:rPr>
            </w:pPr>
            <w:r w:rsidRPr="00006DC7">
              <w:rPr>
                <w:i/>
                <w:iCs/>
                <w:color w:val="0070C0"/>
              </w:rPr>
              <w:t xml:space="preserve">MK </w:t>
            </w:r>
            <w:proofErr w:type="spellStart"/>
            <w:r w:rsidRPr="00006DC7">
              <w:rPr>
                <w:i/>
                <w:iCs/>
                <w:color w:val="0070C0"/>
              </w:rPr>
              <w:t>noteikumu</w:t>
            </w:r>
            <w:proofErr w:type="spellEnd"/>
            <w:r w:rsidRPr="00006DC7">
              <w:rPr>
                <w:i/>
                <w:iCs/>
                <w:color w:val="0070C0"/>
              </w:rPr>
              <w:t xml:space="preserve"> Nr.836 </w:t>
            </w:r>
            <w:proofErr w:type="spellStart"/>
            <w:r w:rsidRPr="00006DC7">
              <w:rPr>
                <w:i/>
                <w:iCs/>
                <w:color w:val="0070C0"/>
              </w:rPr>
              <w:t>anotācijā</w:t>
            </w:r>
            <w:proofErr w:type="spellEnd"/>
            <w:r w:rsidRPr="00006DC7">
              <w:rPr>
                <w:i/>
                <w:iCs/>
                <w:color w:val="0070C0"/>
              </w:rPr>
              <w:t xml:space="preserve"> </w:t>
            </w:r>
            <w:proofErr w:type="spellStart"/>
            <w:r w:rsidRPr="00006DC7">
              <w:rPr>
                <w:i/>
                <w:iCs/>
                <w:color w:val="0070C0"/>
              </w:rPr>
              <w:t>ir</w:t>
            </w:r>
            <w:proofErr w:type="spellEnd"/>
            <w:r w:rsidRPr="00006DC7">
              <w:rPr>
                <w:i/>
                <w:iCs/>
                <w:color w:val="0070C0"/>
              </w:rPr>
              <w:t xml:space="preserve"> </w:t>
            </w:r>
            <w:proofErr w:type="spellStart"/>
            <w:r w:rsidRPr="00006DC7">
              <w:rPr>
                <w:i/>
                <w:iCs/>
                <w:color w:val="0070C0"/>
              </w:rPr>
              <w:t>šāds</w:t>
            </w:r>
            <w:proofErr w:type="spellEnd"/>
            <w:r w:rsidRPr="00006DC7">
              <w:rPr>
                <w:i/>
                <w:iCs/>
                <w:color w:val="0070C0"/>
              </w:rPr>
              <w:t xml:space="preserve"> </w:t>
            </w:r>
            <w:proofErr w:type="spellStart"/>
            <w:r w:rsidRPr="00006DC7">
              <w:rPr>
                <w:i/>
                <w:iCs/>
                <w:color w:val="0070C0"/>
              </w:rPr>
              <w:t>skaidrojums</w:t>
            </w:r>
            <w:proofErr w:type="spellEnd"/>
            <w:r w:rsidRPr="00006DC7">
              <w:rPr>
                <w:i/>
                <w:iCs/>
                <w:color w:val="0070C0"/>
              </w:rPr>
              <w:t>: “..</w:t>
            </w:r>
            <w:proofErr w:type="spellStart"/>
            <w:r w:rsidRPr="00006DC7">
              <w:rPr>
                <w:i/>
                <w:iCs/>
                <w:color w:val="0070C0"/>
              </w:rPr>
              <w:t>attiecībā</w:t>
            </w:r>
            <w:proofErr w:type="spellEnd"/>
            <w:r w:rsidRPr="00006DC7">
              <w:rPr>
                <w:i/>
                <w:iCs/>
                <w:color w:val="0070C0"/>
              </w:rPr>
              <w:t xml:space="preserve"> </w:t>
            </w:r>
            <w:proofErr w:type="spellStart"/>
            <w:r w:rsidRPr="00006DC7">
              <w:rPr>
                <w:i/>
                <w:iCs/>
                <w:color w:val="0070C0"/>
              </w:rPr>
              <w:t>uz</w:t>
            </w:r>
            <w:proofErr w:type="spellEnd"/>
            <w:r w:rsidRPr="00006DC7">
              <w:rPr>
                <w:i/>
                <w:iCs/>
                <w:color w:val="0070C0"/>
              </w:rPr>
              <w:t xml:space="preserve"> </w:t>
            </w:r>
            <w:proofErr w:type="spellStart"/>
            <w:r w:rsidRPr="00006DC7">
              <w:rPr>
                <w:i/>
                <w:iCs/>
                <w:color w:val="0070C0"/>
              </w:rPr>
              <w:t>sadarbības</w:t>
            </w:r>
            <w:proofErr w:type="spellEnd"/>
            <w:r w:rsidRPr="00006DC7">
              <w:rPr>
                <w:i/>
                <w:iCs/>
                <w:color w:val="0070C0"/>
              </w:rPr>
              <w:t xml:space="preserve"> </w:t>
            </w:r>
            <w:proofErr w:type="spellStart"/>
            <w:r w:rsidRPr="00006DC7">
              <w:rPr>
                <w:i/>
                <w:iCs/>
                <w:color w:val="0070C0"/>
              </w:rPr>
              <w:t>partneri</w:t>
            </w:r>
            <w:proofErr w:type="spellEnd"/>
            <w:r w:rsidRPr="00006DC7">
              <w:rPr>
                <w:i/>
                <w:iCs/>
                <w:color w:val="0070C0"/>
              </w:rPr>
              <w:t xml:space="preserve"> – </w:t>
            </w:r>
            <w:proofErr w:type="spellStart"/>
            <w:r w:rsidRPr="00006DC7">
              <w:rPr>
                <w:i/>
                <w:iCs/>
                <w:color w:val="0070C0"/>
              </w:rPr>
              <w:t>zinātnisko</w:t>
            </w:r>
            <w:proofErr w:type="spellEnd"/>
            <w:r w:rsidRPr="00006DC7">
              <w:rPr>
                <w:i/>
                <w:iCs/>
                <w:color w:val="0070C0"/>
              </w:rPr>
              <w:t xml:space="preserve"> </w:t>
            </w:r>
            <w:proofErr w:type="spellStart"/>
            <w:r w:rsidRPr="00006DC7">
              <w:rPr>
                <w:i/>
                <w:iCs/>
                <w:color w:val="0070C0"/>
              </w:rPr>
              <w:t>institūciju</w:t>
            </w:r>
            <w:proofErr w:type="spellEnd"/>
            <w:r w:rsidRPr="00006DC7">
              <w:rPr>
                <w:i/>
                <w:iCs/>
                <w:color w:val="0070C0"/>
              </w:rPr>
              <w:t xml:space="preserve">, </w:t>
            </w:r>
            <w:proofErr w:type="spellStart"/>
            <w:r w:rsidRPr="00006DC7">
              <w:rPr>
                <w:i/>
                <w:iCs/>
                <w:color w:val="0070C0"/>
              </w:rPr>
              <w:t>citu</w:t>
            </w:r>
            <w:proofErr w:type="spellEnd"/>
            <w:r w:rsidRPr="00006DC7">
              <w:rPr>
                <w:i/>
                <w:iCs/>
                <w:color w:val="0070C0"/>
              </w:rPr>
              <w:t xml:space="preserve"> </w:t>
            </w:r>
            <w:proofErr w:type="spellStart"/>
            <w:r w:rsidRPr="00006DC7">
              <w:rPr>
                <w:i/>
                <w:iCs/>
                <w:color w:val="0070C0"/>
              </w:rPr>
              <w:t>publisko</w:t>
            </w:r>
            <w:proofErr w:type="spellEnd"/>
            <w:r w:rsidRPr="00006DC7">
              <w:rPr>
                <w:i/>
                <w:iCs/>
                <w:color w:val="0070C0"/>
              </w:rPr>
              <w:t xml:space="preserve"> </w:t>
            </w:r>
            <w:proofErr w:type="spellStart"/>
            <w:r w:rsidRPr="00006DC7">
              <w:rPr>
                <w:i/>
                <w:iCs/>
                <w:color w:val="0070C0"/>
              </w:rPr>
              <w:t>vai</w:t>
            </w:r>
            <w:proofErr w:type="spellEnd"/>
            <w:r w:rsidRPr="00006DC7">
              <w:rPr>
                <w:i/>
                <w:iCs/>
                <w:color w:val="0070C0"/>
              </w:rPr>
              <w:t xml:space="preserve"> </w:t>
            </w:r>
            <w:proofErr w:type="spellStart"/>
            <w:r w:rsidRPr="00006DC7">
              <w:rPr>
                <w:i/>
                <w:iCs/>
                <w:color w:val="0070C0"/>
              </w:rPr>
              <w:t>privāto</w:t>
            </w:r>
            <w:proofErr w:type="spellEnd"/>
            <w:r w:rsidRPr="00006DC7">
              <w:rPr>
                <w:i/>
                <w:iCs/>
                <w:color w:val="0070C0"/>
              </w:rPr>
              <w:t xml:space="preserve"> </w:t>
            </w:r>
            <w:proofErr w:type="spellStart"/>
            <w:r w:rsidRPr="00006DC7">
              <w:rPr>
                <w:i/>
                <w:iCs/>
                <w:color w:val="0070C0"/>
              </w:rPr>
              <w:t>organizāciju</w:t>
            </w:r>
            <w:proofErr w:type="spellEnd"/>
            <w:r w:rsidRPr="00006DC7">
              <w:rPr>
                <w:i/>
                <w:iCs/>
                <w:color w:val="0070C0"/>
              </w:rPr>
              <w:t xml:space="preserve">, </w:t>
            </w:r>
            <w:proofErr w:type="spellStart"/>
            <w:r w:rsidRPr="00006DC7">
              <w:rPr>
                <w:i/>
                <w:iCs/>
                <w:color w:val="0070C0"/>
              </w:rPr>
              <w:t>paredzēts</w:t>
            </w:r>
            <w:proofErr w:type="spellEnd"/>
            <w:r w:rsidRPr="00006DC7">
              <w:rPr>
                <w:i/>
                <w:iCs/>
                <w:color w:val="0070C0"/>
              </w:rPr>
              <w:t xml:space="preserve">, ka </w:t>
            </w:r>
            <w:proofErr w:type="spellStart"/>
            <w:r w:rsidRPr="00006DC7">
              <w:rPr>
                <w:i/>
                <w:iCs/>
                <w:color w:val="0070C0"/>
              </w:rPr>
              <w:t>tās</w:t>
            </w:r>
            <w:proofErr w:type="spellEnd"/>
            <w:r w:rsidRPr="00006DC7">
              <w:rPr>
                <w:i/>
                <w:iCs/>
                <w:color w:val="0070C0"/>
              </w:rPr>
              <w:t xml:space="preserve"> </w:t>
            </w:r>
            <w:proofErr w:type="spellStart"/>
            <w:r w:rsidRPr="00006DC7">
              <w:rPr>
                <w:i/>
                <w:iCs/>
                <w:color w:val="0070C0"/>
              </w:rPr>
              <w:t>pamatā</w:t>
            </w:r>
            <w:proofErr w:type="spellEnd"/>
            <w:r w:rsidRPr="00006DC7">
              <w:rPr>
                <w:i/>
                <w:iCs/>
                <w:color w:val="0070C0"/>
              </w:rPr>
              <w:t xml:space="preserve"> </w:t>
            </w:r>
            <w:proofErr w:type="spellStart"/>
            <w:r w:rsidRPr="00006DC7">
              <w:rPr>
                <w:i/>
                <w:iCs/>
                <w:color w:val="0070C0"/>
              </w:rPr>
              <w:t>projektos</w:t>
            </w:r>
            <w:proofErr w:type="spellEnd"/>
            <w:r w:rsidRPr="00006DC7">
              <w:rPr>
                <w:i/>
                <w:iCs/>
                <w:color w:val="0070C0"/>
              </w:rPr>
              <w:t xml:space="preserve"> </w:t>
            </w:r>
            <w:proofErr w:type="spellStart"/>
            <w:r w:rsidRPr="00006DC7">
              <w:rPr>
                <w:i/>
                <w:iCs/>
                <w:color w:val="0070C0"/>
              </w:rPr>
              <w:t>iesaistīsies</w:t>
            </w:r>
            <w:proofErr w:type="spellEnd"/>
            <w:r w:rsidRPr="00006DC7">
              <w:rPr>
                <w:i/>
                <w:iCs/>
                <w:color w:val="0070C0"/>
              </w:rPr>
              <w:t xml:space="preserve"> </w:t>
            </w:r>
            <w:proofErr w:type="spellStart"/>
            <w:r w:rsidRPr="00006DC7">
              <w:rPr>
                <w:i/>
                <w:iCs/>
                <w:color w:val="0070C0"/>
              </w:rPr>
              <w:t>ar</w:t>
            </w:r>
            <w:proofErr w:type="spellEnd"/>
            <w:r w:rsidRPr="00006DC7">
              <w:rPr>
                <w:i/>
                <w:iCs/>
                <w:color w:val="0070C0"/>
              </w:rPr>
              <w:t xml:space="preserve"> to </w:t>
            </w:r>
            <w:proofErr w:type="spellStart"/>
            <w:r w:rsidRPr="00006DC7">
              <w:rPr>
                <w:i/>
                <w:iCs/>
                <w:color w:val="0070C0"/>
              </w:rPr>
              <w:t>cilvēkresursiem</w:t>
            </w:r>
            <w:proofErr w:type="spellEnd"/>
            <w:r w:rsidRPr="00006DC7">
              <w:rPr>
                <w:i/>
                <w:iCs/>
                <w:color w:val="0070C0"/>
              </w:rPr>
              <w:t xml:space="preserve"> (</w:t>
            </w:r>
            <w:proofErr w:type="spellStart"/>
            <w:r w:rsidRPr="00006DC7">
              <w:rPr>
                <w:i/>
                <w:iCs/>
                <w:color w:val="0070C0"/>
              </w:rPr>
              <w:t>ekspertīzi</w:t>
            </w:r>
            <w:proofErr w:type="spellEnd"/>
            <w:r w:rsidRPr="00006DC7">
              <w:rPr>
                <w:i/>
                <w:iCs/>
                <w:color w:val="0070C0"/>
              </w:rPr>
              <w:t xml:space="preserve">, </w:t>
            </w:r>
            <w:proofErr w:type="spellStart"/>
            <w:r w:rsidRPr="00006DC7">
              <w:rPr>
                <w:i/>
                <w:iCs/>
                <w:color w:val="0070C0"/>
              </w:rPr>
              <w:t>zināšanām</w:t>
            </w:r>
            <w:proofErr w:type="spellEnd"/>
            <w:r w:rsidRPr="00006DC7">
              <w:rPr>
                <w:i/>
                <w:iCs/>
                <w:color w:val="0070C0"/>
              </w:rPr>
              <w:t xml:space="preserve">) </w:t>
            </w:r>
            <w:proofErr w:type="spellStart"/>
            <w:r w:rsidRPr="00006DC7">
              <w:rPr>
                <w:i/>
                <w:iCs/>
                <w:color w:val="0070C0"/>
              </w:rPr>
              <w:t>kā</w:t>
            </w:r>
            <w:proofErr w:type="spellEnd"/>
            <w:r w:rsidRPr="00006DC7">
              <w:rPr>
                <w:i/>
                <w:iCs/>
                <w:color w:val="0070C0"/>
              </w:rPr>
              <w:t xml:space="preserve"> </w:t>
            </w:r>
            <w:proofErr w:type="spellStart"/>
            <w:r w:rsidRPr="00006DC7">
              <w:rPr>
                <w:i/>
                <w:iCs/>
                <w:color w:val="0070C0"/>
              </w:rPr>
              <w:t>projekta</w:t>
            </w:r>
            <w:proofErr w:type="spellEnd"/>
            <w:r w:rsidRPr="00006DC7">
              <w:rPr>
                <w:i/>
                <w:iCs/>
                <w:color w:val="0070C0"/>
              </w:rPr>
              <w:t xml:space="preserve"> </w:t>
            </w:r>
            <w:proofErr w:type="spellStart"/>
            <w:r w:rsidRPr="00006DC7">
              <w:rPr>
                <w:i/>
                <w:iCs/>
                <w:color w:val="0070C0"/>
              </w:rPr>
              <w:t>īstenošanas</w:t>
            </w:r>
            <w:proofErr w:type="spellEnd"/>
            <w:r w:rsidRPr="00006DC7">
              <w:rPr>
                <w:i/>
                <w:iCs/>
                <w:color w:val="0070C0"/>
              </w:rPr>
              <w:t xml:space="preserve"> </w:t>
            </w:r>
            <w:proofErr w:type="spellStart"/>
            <w:r w:rsidRPr="00006DC7">
              <w:rPr>
                <w:i/>
                <w:iCs/>
                <w:color w:val="0070C0"/>
              </w:rPr>
              <w:t>personālu</w:t>
            </w:r>
            <w:proofErr w:type="spellEnd"/>
            <w:r w:rsidRPr="00006DC7">
              <w:rPr>
                <w:i/>
                <w:iCs/>
                <w:color w:val="0070C0"/>
              </w:rPr>
              <w:t xml:space="preserve">, </w:t>
            </w:r>
            <w:proofErr w:type="spellStart"/>
            <w:r w:rsidRPr="00006DC7">
              <w:rPr>
                <w:i/>
                <w:iCs/>
                <w:color w:val="0070C0"/>
              </w:rPr>
              <w:t>personālam</w:t>
            </w:r>
            <w:proofErr w:type="spellEnd"/>
            <w:r w:rsidRPr="00006DC7">
              <w:rPr>
                <w:i/>
                <w:iCs/>
                <w:color w:val="0070C0"/>
              </w:rPr>
              <w:t xml:space="preserve"> </w:t>
            </w:r>
            <w:proofErr w:type="spellStart"/>
            <w:r w:rsidRPr="00006DC7">
              <w:rPr>
                <w:i/>
                <w:iCs/>
                <w:color w:val="0070C0"/>
              </w:rPr>
              <w:t>sedzot</w:t>
            </w:r>
            <w:proofErr w:type="spellEnd"/>
            <w:r w:rsidRPr="00006DC7">
              <w:rPr>
                <w:i/>
                <w:iCs/>
                <w:color w:val="0070C0"/>
              </w:rPr>
              <w:t xml:space="preserve"> </w:t>
            </w:r>
            <w:proofErr w:type="spellStart"/>
            <w:r w:rsidRPr="00006DC7">
              <w:rPr>
                <w:i/>
                <w:iCs/>
                <w:color w:val="0070C0"/>
              </w:rPr>
              <w:t>faktiskās</w:t>
            </w:r>
            <w:proofErr w:type="spellEnd"/>
            <w:r w:rsidRPr="00006DC7">
              <w:rPr>
                <w:i/>
                <w:iCs/>
                <w:color w:val="0070C0"/>
              </w:rPr>
              <w:t xml:space="preserve"> </w:t>
            </w:r>
            <w:proofErr w:type="spellStart"/>
            <w:r w:rsidRPr="00006DC7">
              <w:rPr>
                <w:i/>
                <w:iCs/>
                <w:color w:val="0070C0"/>
              </w:rPr>
              <w:t>nepieciešamās</w:t>
            </w:r>
            <w:proofErr w:type="spellEnd"/>
            <w:r w:rsidRPr="00006DC7">
              <w:rPr>
                <w:i/>
                <w:iCs/>
                <w:color w:val="0070C0"/>
              </w:rPr>
              <w:t xml:space="preserve"> </w:t>
            </w:r>
            <w:proofErr w:type="spellStart"/>
            <w:r w:rsidRPr="00006DC7">
              <w:rPr>
                <w:i/>
                <w:iCs/>
                <w:color w:val="0070C0"/>
              </w:rPr>
              <w:t>izmaksas</w:t>
            </w:r>
            <w:proofErr w:type="spellEnd"/>
            <w:r w:rsidRPr="00006DC7">
              <w:rPr>
                <w:i/>
                <w:iCs/>
                <w:color w:val="0070C0"/>
              </w:rPr>
              <w:t xml:space="preserve">, kas </w:t>
            </w:r>
            <w:proofErr w:type="spellStart"/>
            <w:r w:rsidRPr="00006DC7">
              <w:rPr>
                <w:i/>
                <w:iCs/>
                <w:color w:val="0070C0"/>
              </w:rPr>
              <w:t>būs</w:t>
            </w:r>
            <w:proofErr w:type="spellEnd"/>
            <w:r w:rsidRPr="00006DC7">
              <w:rPr>
                <w:i/>
                <w:iCs/>
                <w:color w:val="0070C0"/>
              </w:rPr>
              <w:t xml:space="preserve"> </w:t>
            </w:r>
            <w:proofErr w:type="spellStart"/>
            <w:r w:rsidRPr="00006DC7">
              <w:rPr>
                <w:i/>
                <w:iCs/>
                <w:color w:val="0070C0"/>
              </w:rPr>
              <w:t>pamatotas</w:t>
            </w:r>
            <w:proofErr w:type="spellEnd"/>
            <w:r w:rsidRPr="00006DC7">
              <w:rPr>
                <w:i/>
                <w:iCs/>
                <w:color w:val="0070C0"/>
              </w:rPr>
              <w:t xml:space="preserve"> un </w:t>
            </w:r>
            <w:proofErr w:type="spellStart"/>
            <w:r w:rsidRPr="00006DC7">
              <w:rPr>
                <w:i/>
                <w:iCs/>
                <w:color w:val="0070C0"/>
              </w:rPr>
              <w:t>pierādāmas</w:t>
            </w:r>
            <w:proofErr w:type="spellEnd"/>
            <w:r w:rsidRPr="00006DC7">
              <w:rPr>
                <w:i/>
                <w:iCs/>
                <w:color w:val="0070C0"/>
              </w:rPr>
              <w:t xml:space="preserve">”. </w:t>
            </w:r>
          </w:p>
          <w:p w14:paraId="2FAC2D72" w14:textId="467C7EB3" w:rsidR="003E4B89" w:rsidRPr="00006DC7" w:rsidRDefault="003E4B89" w:rsidP="003E4B89">
            <w:pPr>
              <w:rPr>
                <w:rFonts w:cs="Times New Roman"/>
                <w:i/>
                <w:iCs/>
                <w:color w:val="0070C0"/>
              </w:rPr>
            </w:pPr>
            <w:r w:rsidRPr="00006DC7">
              <w:rPr>
                <w:rFonts w:cs="Times New Roman"/>
                <w:i/>
                <w:iCs/>
                <w:color w:val="0070C0"/>
              </w:rPr>
              <w:t xml:space="preserve">Līdz ar to sadarbības partneris, kas ietilpt kategorijā “publiskas vai privātas organizācijas”, </w:t>
            </w:r>
            <w:r w:rsidRPr="00006DC7">
              <w:rPr>
                <w:rFonts w:cs="Times New Roman"/>
                <w:b/>
                <w:i/>
                <w:iCs/>
                <w:color w:val="0070C0"/>
              </w:rPr>
              <w:t>nevar saņemt finansiālu labumu no projekta, piemēram, tehniskā aprīkojuma vai licenču iegādei.</w:t>
            </w:r>
          </w:p>
        </w:tc>
      </w:tr>
      <w:tr w:rsidR="003E4B89" w:rsidRPr="00646DA8" w14:paraId="549A2168" w14:textId="77777777" w:rsidTr="005D6344">
        <w:trPr>
          <w:trHeight w:val="274"/>
        </w:trPr>
        <w:tc>
          <w:tcPr>
            <w:tcW w:w="1496" w:type="pct"/>
            <w:shd w:val="clear" w:color="auto" w:fill="auto"/>
          </w:tcPr>
          <w:p w14:paraId="3B9FCDD4" w14:textId="1B9BD15C" w:rsidR="003E4B89" w:rsidRPr="00006DC7" w:rsidRDefault="003E4B89" w:rsidP="003E4B89">
            <w:pPr>
              <w:pStyle w:val="PlainText"/>
              <w:rPr>
                <w:rFonts w:ascii="Times New Roman" w:hAnsi="Times New Roman" w:cs="Times New Roman"/>
              </w:rPr>
            </w:pPr>
            <w:proofErr w:type="spellStart"/>
            <w:r w:rsidRPr="00006DC7">
              <w:rPr>
                <w:rFonts w:ascii="Times New Roman" w:hAnsi="Times New Roman" w:cs="Times New Roman"/>
              </w:rPr>
              <w:lastRenderedPageBreak/>
              <w:t>Kādi</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ir</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nosacījumi</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attiecībā</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uz</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starptautisko</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partneru</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piesaisti</w:t>
            </w:r>
            <w:proofErr w:type="spellEnd"/>
            <w:r w:rsidRPr="00006DC7">
              <w:rPr>
                <w:rFonts w:ascii="Times New Roman" w:hAnsi="Times New Roman" w:cs="Times New Roman"/>
              </w:rPr>
              <w:t xml:space="preserve">? Tai </w:t>
            </w:r>
            <w:proofErr w:type="spellStart"/>
            <w:r w:rsidRPr="00006DC7">
              <w:rPr>
                <w:rFonts w:ascii="Times New Roman" w:hAnsi="Times New Roman" w:cs="Times New Roman"/>
              </w:rPr>
              <w:t>skaitā</w:t>
            </w:r>
            <w:proofErr w:type="spellEnd"/>
            <w:r w:rsidRPr="00006DC7">
              <w:rPr>
                <w:rFonts w:ascii="Times New Roman" w:hAnsi="Times New Roman" w:cs="Times New Roman"/>
              </w:rPr>
              <w:t xml:space="preserve">, ja </w:t>
            </w:r>
            <w:proofErr w:type="spellStart"/>
            <w:r w:rsidRPr="00006DC7">
              <w:rPr>
                <w:rFonts w:ascii="Times New Roman" w:hAnsi="Times New Roman" w:cs="Times New Roman"/>
              </w:rPr>
              <w:t>augstākās</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izglītības</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iestāde</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ir</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iesaistīta</w:t>
            </w:r>
            <w:proofErr w:type="spellEnd"/>
            <w:r w:rsidRPr="00006DC7">
              <w:rPr>
                <w:rFonts w:ascii="Times New Roman" w:hAnsi="Times New Roman" w:cs="Times New Roman"/>
              </w:rPr>
              <w:t xml:space="preserve"> ES </w:t>
            </w:r>
            <w:proofErr w:type="spellStart"/>
            <w:r w:rsidRPr="00006DC7">
              <w:rPr>
                <w:rFonts w:ascii="Times New Roman" w:hAnsi="Times New Roman" w:cs="Times New Roman"/>
              </w:rPr>
              <w:t>finansētā</w:t>
            </w:r>
            <w:proofErr w:type="spellEnd"/>
            <w:r w:rsidRPr="00006DC7">
              <w:rPr>
                <w:rFonts w:ascii="Times New Roman" w:hAnsi="Times New Roman" w:cs="Times New Roman"/>
              </w:rPr>
              <w:t xml:space="preserve"> AI </w:t>
            </w:r>
            <w:proofErr w:type="spellStart"/>
            <w:r w:rsidRPr="00006DC7">
              <w:rPr>
                <w:rFonts w:ascii="Times New Roman" w:hAnsi="Times New Roman" w:cs="Times New Roman"/>
              </w:rPr>
              <w:t>attīstības</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arī</w:t>
            </w:r>
            <w:proofErr w:type="spellEnd"/>
            <w:r w:rsidRPr="00006DC7">
              <w:rPr>
                <w:rFonts w:ascii="Times New Roman" w:hAnsi="Times New Roman" w:cs="Times New Roman"/>
              </w:rPr>
              <w:t xml:space="preserve"> digitalizācijas) </w:t>
            </w:r>
            <w:proofErr w:type="spellStart"/>
            <w:r w:rsidRPr="00006DC7">
              <w:rPr>
                <w:rFonts w:ascii="Times New Roman" w:hAnsi="Times New Roman" w:cs="Times New Roman"/>
              </w:rPr>
              <w:t>konsorcijā</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vai</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šādu</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partneru</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iesaiste</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šajā</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projektā</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būtu</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pieļaujama</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Kāda</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tipa</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dubultā</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finansējuma</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riski</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būtu</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jāapsver</w:t>
            </w:r>
            <w:proofErr w:type="spellEnd"/>
            <w:r w:rsidRPr="00006DC7">
              <w:rPr>
                <w:rFonts w:ascii="Times New Roman" w:hAnsi="Times New Roman" w:cs="Times New Roman"/>
              </w:rPr>
              <w:t>?</w:t>
            </w:r>
          </w:p>
        </w:tc>
        <w:tc>
          <w:tcPr>
            <w:tcW w:w="3504" w:type="pct"/>
            <w:shd w:val="clear" w:color="auto" w:fill="auto"/>
          </w:tcPr>
          <w:p w14:paraId="7CA80379" w14:textId="43BB8219" w:rsidR="003E4B89" w:rsidRPr="00006DC7" w:rsidRDefault="003E4B89" w:rsidP="003E4B89">
            <w:pPr>
              <w:rPr>
                <w:rFonts w:cs="Times New Roman"/>
                <w:i/>
                <w:iCs/>
                <w:color w:val="0070C0"/>
              </w:rPr>
            </w:pPr>
            <w:r w:rsidRPr="00006DC7">
              <w:rPr>
                <w:rFonts w:cs="Times New Roman"/>
                <w:i/>
                <w:iCs/>
                <w:color w:val="0070C0"/>
              </w:rPr>
              <w:t>Ārvalstu augstskolu kā sadarbības partneru iesaiste ir pieļaujama. Taču finansiālu atbalstu tehnoloģisko risinājumu izstrādei tā saņemt nevarēs. Tā iesaistās ar saviem cilvēkresursiem, kas attiecīgi saņem atlīdzību par projektā veiktajām darbībām.</w:t>
            </w:r>
          </w:p>
        </w:tc>
      </w:tr>
      <w:tr w:rsidR="003E4B89" w:rsidRPr="00646DA8" w14:paraId="6CFC51B6" w14:textId="77777777" w:rsidTr="005D6344">
        <w:trPr>
          <w:trHeight w:val="274"/>
        </w:trPr>
        <w:tc>
          <w:tcPr>
            <w:tcW w:w="1496" w:type="pct"/>
            <w:shd w:val="clear" w:color="auto" w:fill="auto"/>
          </w:tcPr>
          <w:p w14:paraId="4D6D2E96" w14:textId="618C73D5" w:rsidR="003E4B89" w:rsidRPr="00006DC7" w:rsidRDefault="003E4B89" w:rsidP="003E4B89">
            <w:pPr>
              <w:pStyle w:val="PlainText"/>
              <w:rPr>
                <w:rFonts w:ascii="Times New Roman" w:hAnsi="Times New Roman" w:cs="Times New Roman"/>
              </w:rPr>
            </w:pPr>
            <w:proofErr w:type="spellStart"/>
            <w:r w:rsidRPr="00006DC7">
              <w:rPr>
                <w:rFonts w:ascii="Times New Roman" w:hAnsi="Times New Roman" w:cs="Times New Roman"/>
              </w:rPr>
              <w:t>Projektu</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iesniedz</w:t>
            </w:r>
            <w:proofErr w:type="spellEnd"/>
            <w:r w:rsidRPr="00006DC7">
              <w:rPr>
                <w:rFonts w:ascii="Times New Roman" w:hAnsi="Times New Roman" w:cs="Times New Roman"/>
              </w:rPr>
              <w:t xml:space="preserve"> "X" AII </w:t>
            </w:r>
            <w:proofErr w:type="spellStart"/>
            <w:r w:rsidRPr="00006DC7">
              <w:rPr>
                <w:rFonts w:ascii="Times New Roman" w:hAnsi="Times New Roman" w:cs="Times New Roman"/>
              </w:rPr>
              <w:t>ar</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sadarbības</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partneri</w:t>
            </w:r>
            <w:proofErr w:type="spellEnd"/>
            <w:r w:rsidRPr="00006DC7">
              <w:rPr>
                <w:rFonts w:ascii="Times New Roman" w:hAnsi="Times New Roman" w:cs="Times New Roman"/>
              </w:rPr>
              <w:t xml:space="preserve"> "A" un "B".  </w:t>
            </w:r>
            <w:proofErr w:type="spellStart"/>
            <w:r w:rsidRPr="00006DC7">
              <w:rPr>
                <w:rFonts w:ascii="Times New Roman" w:hAnsi="Times New Roman" w:cs="Times New Roman"/>
              </w:rPr>
              <w:t>Vai</w:t>
            </w:r>
            <w:proofErr w:type="spellEnd"/>
            <w:r w:rsidRPr="00006DC7">
              <w:rPr>
                <w:rFonts w:ascii="Times New Roman" w:hAnsi="Times New Roman" w:cs="Times New Roman"/>
              </w:rPr>
              <w:t xml:space="preserve"> "A" var </w:t>
            </w:r>
            <w:proofErr w:type="spellStart"/>
            <w:r w:rsidRPr="00006DC7">
              <w:rPr>
                <w:rFonts w:ascii="Times New Roman" w:hAnsi="Times New Roman" w:cs="Times New Roman"/>
              </w:rPr>
              <w:t>iesniegt</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savu</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projektu</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sadarbības</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partneros</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izvēloties</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citus</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partnerus</w:t>
            </w:r>
            <w:proofErr w:type="spellEnd"/>
            <w:r w:rsidRPr="00006DC7">
              <w:rPr>
                <w:rFonts w:ascii="Times New Roman" w:hAnsi="Times New Roman" w:cs="Times New Roman"/>
              </w:rPr>
              <w:t xml:space="preserve">, </w:t>
            </w:r>
            <w:proofErr w:type="spellStart"/>
            <w:r w:rsidRPr="00006DC7">
              <w:rPr>
                <w:rFonts w:ascii="Times New Roman" w:hAnsi="Times New Roman" w:cs="Times New Roman"/>
              </w:rPr>
              <w:t>piem</w:t>
            </w:r>
            <w:proofErr w:type="spellEnd"/>
            <w:r w:rsidRPr="00006DC7">
              <w:rPr>
                <w:rFonts w:ascii="Times New Roman" w:hAnsi="Times New Roman" w:cs="Times New Roman"/>
              </w:rPr>
              <w:t>. "K" un "L"?</w:t>
            </w:r>
          </w:p>
        </w:tc>
        <w:tc>
          <w:tcPr>
            <w:tcW w:w="3504" w:type="pct"/>
            <w:shd w:val="clear" w:color="auto" w:fill="auto"/>
          </w:tcPr>
          <w:p w14:paraId="70A109A7" w14:textId="6444A731" w:rsidR="003E4B89" w:rsidRPr="00964A25" w:rsidRDefault="003E4B89" w:rsidP="003E4B89">
            <w:pPr>
              <w:rPr>
                <w:i/>
                <w:iCs/>
                <w:color w:val="0070C0"/>
              </w:rPr>
            </w:pPr>
            <w:r>
              <w:rPr>
                <w:rFonts w:cs="Times New Roman"/>
                <w:i/>
                <w:iCs/>
                <w:color w:val="0070C0"/>
              </w:rPr>
              <w:t>P</w:t>
            </w:r>
            <w:r w:rsidRPr="00646DA8">
              <w:rPr>
                <w:rFonts w:cs="Times New Roman"/>
                <w:i/>
                <w:iCs/>
                <w:color w:val="0070C0"/>
              </w:rPr>
              <w:t>artneri var iesniegt arī savus risinājumus ar citiem partneriem, galvenais, lai darbības nepārklājas citos projektos</w:t>
            </w:r>
          </w:p>
        </w:tc>
      </w:tr>
      <w:tr w:rsidR="003E4B89" w:rsidRPr="00646DA8" w14:paraId="02D6199F" w14:textId="77777777" w:rsidTr="005D6344">
        <w:trPr>
          <w:trHeight w:val="274"/>
        </w:trPr>
        <w:tc>
          <w:tcPr>
            <w:tcW w:w="1496" w:type="pct"/>
            <w:shd w:val="clear" w:color="auto" w:fill="auto"/>
          </w:tcPr>
          <w:p w14:paraId="7B9CA17E" w14:textId="13ACC85E" w:rsidR="003E4B89" w:rsidRPr="00006DC7" w:rsidRDefault="003E4B89" w:rsidP="003E4B89">
            <w:pPr>
              <w:pStyle w:val="PlainText"/>
              <w:rPr>
                <w:rFonts w:ascii="Times New Roman" w:hAnsi="Times New Roman" w:cs="Times New Roman"/>
              </w:rPr>
            </w:pPr>
            <w:r w:rsidRPr="00646DA8">
              <w:rPr>
                <w:rFonts w:ascii="Times New Roman" w:eastAsia="Times New Roman" w:hAnsi="Times New Roman" w:cs="Times New Roman"/>
                <w:lang w:val="lv-LV"/>
              </w:rPr>
              <w:t>Vai atlases nolikumā minētajiem 2 sadarbība partneriem - augstskolām - ir jābūt Latvijas augstskolām vai viena var būt ārvalstu augstskola?</w:t>
            </w:r>
          </w:p>
        </w:tc>
        <w:tc>
          <w:tcPr>
            <w:tcW w:w="3504" w:type="pct"/>
            <w:shd w:val="clear" w:color="auto" w:fill="auto"/>
          </w:tcPr>
          <w:p w14:paraId="668F706C" w14:textId="77777777" w:rsidR="003E4B89" w:rsidRPr="00646DA8" w:rsidRDefault="003E4B89" w:rsidP="003E4B89">
            <w:pPr>
              <w:pStyle w:val="PlainText"/>
              <w:rPr>
                <w:rFonts w:ascii="Times New Roman" w:hAnsi="Times New Roman" w:cs="Times New Roman"/>
                <w:i/>
                <w:iCs/>
                <w:color w:val="0070C0"/>
                <w:lang w:val="lv-LV"/>
              </w:rPr>
            </w:pPr>
            <w:r w:rsidRPr="00646DA8">
              <w:rPr>
                <w:rFonts w:ascii="Times New Roman" w:hAnsi="Times New Roman" w:cs="Times New Roman"/>
                <w:b/>
                <w:bCs/>
                <w:i/>
                <w:iCs/>
                <w:color w:val="0070C0"/>
                <w:lang w:val="lv-LV"/>
              </w:rPr>
              <w:t>Obligātie</w:t>
            </w:r>
            <w:r w:rsidRPr="00646DA8">
              <w:rPr>
                <w:rFonts w:ascii="Times New Roman" w:hAnsi="Times New Roman" w:cs="Times New Roman"/>
                <w:i/>
                <w:iCs/>
                <w:color w:val="0070C0"/>
                <w:lang w:val="lv-LV"/>
              </w:rPr>
              <w:t xml:space="preserve"> sadarbības partneri var būt tikai Latvijas augstskolas, bet </w:t>
            </w:r>
            <w:r w:rsidRPr="00646DA8">
              <w:rPr>
                <w:rFonts w:ascii="Times New Roman" w:hAnsi="Times New Roman" w:cs="Times New Roman"/>
                <w:b/>
                <w:bCs/>
                <w:i/>
                <w:iCs/>
                <w:color w:val="0070C0"/>
                <w:lang w:val="lv-LV"/>
              </w:rPr>
              <w:t>papildus</w:t>
            </w:r>
            <w:r w:rsidRPr="00646DA8">
              <w:rPr>
                <w:rFonts w:ascii="Times New Roman" w:hAnsi="Times New Roman" w:cs="Times New Roman"/>
                <w:i/>
                <w:iCs/>
                <w:color w:val="0070C0"/>
                <w:lang w:val="lv-LV"/>
              </w:rPr>
              <w:t xml:space="preserve"> var piesaistīt arī ārvalstu augstskolas.</w:t>
            </w:r>
          </w:p>
          <w:p w14:paraId="42EC6B1D" w14:textId="27D8DADE" w:rsidR="003E4B89" w:rsidRDefault="003E4B89" w:rsidP="003E4B89">
            <w:pPr>
              <w:rPr>
                <w:rFonts w:cs="Times New Roman"/>
                <w:i/>
                <w:iCs/>
                <w:color w:val="0070C0"/>
              </w:rPr>
            </w:pPr>
            <w:r w:rsidRPr="00646DA8">
              <w:rPr>
                <w:rFonts w:cs="Times New Roman"/>
                <w:i/>
                <w:iCs/>
                <w:color w:val="0070C0"/>
              </w:rPr>
              <w:t>SAM MK noteikumu 12. punktā teikts, ka projekta iesniedzējs projekta iesniegumu iesniedz un projektu īsteno ar vismaz diviem sadarbības partneriem – augstskolām, savukārt SAM MK noteikumu 2.1. apakšpunkts nosaka, ka augstskola – saskaņā ar Augstskolu likumu valsts vai privātpersonas dibināta un noteiktā kārtībā Latvijas Republikā reģistrēta un akreditēta augstskola.</w:t>
            </w:r>
          </w:p>
        </w:tc>
      </w:tr>
      <w:tr w:rsidR="003E4B89" w:rsidRPr="00646DA8" w14:paraId="12FB1E67" w14:textId="77777777" w:rsidTr="005D6344">
        <w:trPr>
          <w:trHeight w:val="274"/>
        </w:trPr>
        <w:tc>
          <w:tcPr>
            <w:tcW w:w="1496" w:type="pct"/>
            <w:shd w:val="clear" w:color="auto" w:fill="auto"/>
          </w:tcPr>
          <w:p w14:paraId="2C19FC6C" w14:textId="2C678EC6" w:rsidR="003E4B89" w:rsidRPr="00646DA8" w:rsidRDefault="003E4B89" w:rsidP="003E4B89">
            <w:pPr>
              <w:pStyle w:val="PlainText"/>
              <w:rPr>
                <w:rFonts w:ascii="Times New Roman" w:eastAsia="Times New Roman" w:hAnsi="Times New Roman" w:cs="Times New Roman"/>
                <w:lang w:val="lv-LV"/>
              </w:rPr>
            </w:pPr>
            <w:r w:rsidRPr="00006DC7">
              <w:rPr>
                <w:rFonts w:ascii="Times New Roman" w:eastAsia="Times New Roman" w:hAnsi="Times New Roman" w:cs="Times New Roman"/>
                <w:lang w:val="lv-LV"/>
              </w:rPr>
              <w:t xml:space="preserve">Kādi ir </w:t>
            </w:r>
            <w:r w:rsidRPr="002D22B0">
              <w:rPr>
                <w:rFonts w:ascii="Times New Roman" w:eastAsia="Times New Roman" w:hAnsi="Times New Roman" w:cs="Times New Roman"/>
                <w:lang w:val="lv-LV"/>
              </w:rPr>
              <w:t xml:space="preserve">privāto augstskolu </w:t>
            </w:r>
            <w:r>
              <w:rPr>
                <w:rFonts w:ascii="Times New Roman" w:eastAsia="Times New Roman" w:hAnsi="Times New Roman" w:cs="Times New Roman"/>
                <w:lang w:val="lv-LV"/>
              </w:rPr>
              <w:t xml:space="preserve"> piesaistes i</w:t>
            </w:r>
            <w:r w:rsidRPr="00006DC7">
              <w:rPr>
                <w:rFonts w:ascii="Times New Roman" w:eastAsia="Times New Roman" w:hAnsi="Times New Roman" w:cs="Times New Roman"/>
                <w:lang w:val="lv-LV"/>
              </w:rPr>
              <w:t>erobežojumi, kam jāpievērš uzmanība?</w:t>
            </w:r>
          </w:p>
        </w:tc>
        <w:tc>
          <w:tcPr>
            <w:tcW w:w="3504" w:type="pct"/>
            <w:shd w:val="clear" w:color="auto" w:fill="auto"/>
          </w:tcPr>
          <w:p w14:paraId="7BF577A0" w14:textId="1FAFA010" w:rsidR="003E4B89" w:rsidRPr="002D22B0" w:rsidRDefault="003E4B89" w:rsidP="003E4B89">
            <w:pPr>
              <w:pStyle w:val="PlainText"/>
              <w:rPr>
                <w:rFonts w:ascii="Times New Roman" w:hAnsi="Times New Roman" w:cs="Times New Roman"/>
                <w:i/>
                <w:iCs/>
                <w:color w:val="0070C0"/>
                <w:lang w:val="lv-LV"/>
              </w:rPr>
            </w:pPr>
            <w:r w:rsidRPr="002D22B0">
              <w:rPr>
                <w:rFonts w:ascii="Times New Roman" w:hAnsi="Times New Roman" w:cs="Times New Roman"/>
                <w:i/>
                <w:iCs/>
                <w:color w:val="0070C0"/>
                <w:lang w:val="lv-LV"/>
              </w:rPr>
              <w:t xml:space="preserve">Uz privātajām augstskolām attiecas tieši tie paši nosacījumi, kas </w:t>
            </w:r>
            <w:r>
              <w:rPr>
                <w:rFonts w:ascii="Times New Roman" w:hAnsi="Times New Roman" w:cs="Times New Roman"/>
                <w:i/>
                <w:iCs/>
                <w:color w:val="0070C0"/>
                <w:lang w:val="lv-LV"/>
              </w:rPr>
              <w:t xml:space="preserve">attiecās </w:t>
            </w:r>
            <w:r w:rsidRPr="002D22B0">
              <w:rPr>
                <w:rFonts w:ascii="Times New Roman" w:hAnsi="Times New Roman" w:cs="Times New Roman"/>
                <w:i/>
                <w:iCs/>
                <w:color w:val="0070C0"/>
                <w:lang w:val="lv-LV"/>
              </w:rPr>
              <w:t>uz valsts augstskolām. MK noteikumu 2.1. apakšpunkts nosaka, ka augstskola – saskaņā ar Augstskolu likumu valsts vai privātpersonas dibināta un noteiktā kārtībā Latvijas Republikā reģistrēta un akreditēta augstskola</w:t>
            </w:r>
            <w:r>
              <w:rPr>
                <w:rFonts w:ascii="Times New Roman" w:hAnsi="Times New Roman" w:cs="Times New Roman"/>
                <w:i/>
                <w:iCs/>
                <w:color w:val="0070C0"/>
                <w:lang w:val="lv-LV"/>
              </w:rPr>
              <w:t>.</w:t>
            </w:r>
          </w:p>
        </w:tc>
      </w:tr>
      <w:tr w:rsidR="00B93FD7" w:rsidRPr="00646DA8" w14:paraId="6FB46119" w14:textId="77777777" w:rsidTr="005D6344">
        <w:trPr>
          <w:trHeight w:val="274"/>
        </w:trPr>
        <w:tc>
          <w:tcPr>
            <w:tcW w:w="1496" w:type="pct"/>
            <w:shd w:val="clear" w:color="auto" w:fill="auto"/>
          </w:tcPr>
          <w:p w14:paraId="71184754" w14:textId="4BCE0AF1" w:rsidR="00B93FD7" w:rsidRPr="00006DC7" w:rsidRDefault="00B93FD7" w:rsidP="003E4B89">
            <w:pPr>
              <w:pStyle w:val="PlainText"/>
              <w:rPr>
                <w:rFonts w:ascii="Times New Roman" w:eastAsia="Times New Roman" w:hAnsi="Times New Roman" w:cs="Times New Roman"/>
                <w:lang w:val="lv-LV"/>
              </w:rPr>
            </w:pPr>
            <w:r>
              <w:rPr>
                <w:rFonts w:ascii="Times New Roman" w:eastAsia="Times New Roman" w:hAnsi="Times New Roman" w:cs="Times New Roman"/>
                <w:lang w:val="lv-LV"/>
              </w:rPr>
              <w:lastRenderedPageBreak/>
              <w:t>Uz kāda līguma pamata var piesaistīt projekta īstenošanas personālu</w:t>
            </w:r>
          </w:p>
        </w:tc>
        <w:tc>
          <w:tcPr>
            <w:tcW w:w="3504" w:type="pct"/>
            <w:shd w:val="clear" w:color="auto" w:fill="auto"/>
          </w:tcPr>
          <w:p w14:paraId="4B7557C1" w14:textId="65233D5A" w:rsidR="00B93FD7" w:rsidRPr="002D22B0" w:rsidRDefault="00B93FD7" w:rsidP="00B93FD7">
            <w:pPr>
              <w:pStyle w:val="PlainText"/>
              <w:spacing w:after="60"/>
              <w:rPr>
                <w:rFonts w:ascii="Times New Roman" w:hAnsi="Times New Roman" w:cs="Times New Roman"/>
                <w:i/>
                <w:iCs/>
                <w:color w:val="0070C0"/>
                <w:lang w:val="lv-LV"/>
              </w:rPr>
            </w:pPr>
            <w:r>
              <w:rPr>
                <w:rFonts w:ascii="Times New Roman" w:hAnsi="Times New Roman" w:cs="Times New Roman"/>
                <w:i/>
                <w:iCs/>
                <w:color w:val="0070C0"/>
                <w:lang w:val="lv-LV"/>
              </w:rPr>
              <w:t>P</w:t>
            </w:r>
            <w:r w:rsidRPr="00B93FD7">
              <w:rPr>
                <w:rFonts w:ascii="Times New Roman" w:hAnsi="Times New Roman" w:cs="Times New Roman"/>
                <w:i/>
                <w:iCs/>
                <w:color w:val="0070C0"/>
                <w:lang w:val="lv-LV"/>
              </w:rPr>
              <w:t xml:space="preserve">rojekta īstenošanas personālu bez </w:t>
            </w:r>
            <w:r w:rsidRPr="00B93FD7">
              <w:rPr>
                <w:rFonts w:ascii="Times New Roman" w:hAnsi="Times New Roman" w:cs="Times New Roman"/>
                <w:b/>
                <w:bCs/>
                <w:i/>
                <w:iCs/>
                <w:color w:val="0070C0"/>
                <w:lang w:val="lv-LV"/>
              </w:rPr>
              <w:t>darba līguma</w:t>
            </w:r>
            <w:r w:rsidRPr="00B93FD7">
              <w:rPr>
                <w:rFonts w:ascii="Times New Roman" w:hAnsi="Times New Roman" w:cs="Times New Roman"/>
                <w:i/>
                <w:iCs/>
                <w:color w:val="0070C0"/>
                <w:lang w:val="lv-LV"/>
              </w:rPr>
              <w:t xml:space="preserve">, var piesaistīt uz </w:t>
            </w:r>
            <w:r w:rsidRPr="00B93FD7">
              <w:rPr>
                <w:rFonts w:ascii="Times New Roman" w:hAnsi="Times New Roman" w:cs="Times New Roman"/>
                <w:b/>
                <w:bCs/>
                <w:i/>
                <w:iCs/>
                <w:color w:val="0070C0"/>
                <w:lang w:val="lv-LV"/>
              </w:rPr>
              <w:t>uzņēmuma līguma</w:t>
            </w:r>
            <w:r w:rsidRPr="00B93FD7">
              <w:rPr>
                <w:rFonts w:ascii="Times New Roman" w:hAnsi="Times New Roman" w:cs="Times New Roman"/>
                <w:i/>
                <w:iCs/>
                <w:color w:val="0070C0"/>
                <w:lang w:val="lv-LV"/>
              </w:rPr>
              <w:t xml:space="preserve"> pamata. MK noteikumu 20.6. punkts nosaka, ka attiecināmas ir pakalpojumu izmaksas 17.1.apakšpunktā minēto darbību īstenošanai, bet 17.1.apakšdarbība ietver digitālo prasmju satura, metodikas utt. izstrādi utt. Arī projekta iesnieguma 3.pielikumā “Projekta budžeta kopsavilkums” ir iekļautas budžeta pozīcijas Nr.2.1.2. un Nr.3.1.2, kas paredz projekta vadības un īstenošanas personāla atlīdzības izmaksas, kas radušās uz uzņēmuma līguma pamata.</w:t>
            </w:r>
          </w:p>
        </w:tc>
      </w:tr>
      <w:tr w:rsidR="003E4B89" w:rsidRPr="00646DA8" w14:paraId="283D246B" w14:textId="77777777" w:rsidTr="00C6343E">
        <w:trPr>
          <w:trHeight w:val="274"/>
        </w:trPr>
        <w:tc>
          <w:tcPr>
            <w:tcW w:w="5000" w:type="pct"/>
            <w:gridSpan w:val="2"/>
            <w:shd w:val="clear" w:color="auto" w:fill="A8D08D" w:themeFill="accent6" w:themeFillTint="99"/>
            <w:vAlign w:val="center"/>
          </w:tcPr>
          <w:p w14:paraId="5525DA86" w14:textId="7D5BEFCD" w:rsidR="003E4B89" w:rsidRPr="00646DA8" w:rsidRDefault="003E4B89" w:rsidP="003E4B89">
            <w:pPr>
              <w:pStyle w:val="Heading1"/>
              <w:rPr>
                <w:i/>
                <w:iCs/>
                <w:color w:val="0070C0"/>
              </w:rPr>
            </w:pPr>
            <w:bookmarkStart w:id="16" w:name="_Toc100667644"/>
            <w:r>
              <w:t>P</w:t>
            </w:r>
            <w:r w:rsidRPr="00D85B9D">
              <w:t xml:space="preserve">rojekta rezultātu uzturēšana un </w:t>
            </w:r>
            <w:r w:rsidRPr="00251C0D">
              <w:t>ilgtspējas</w:t>
            </w:r>
            <w:r w:rsidRPr="00D85B9D">
              <w:t xml:space="preserve"> nodrošināšana</w:t>
            </w:r>
            <w:bookmarkEnd w:id="16"/>
          </w:p>
        </w:tc>
      </w:tr>
      <w:tr w:rsidR="003E4B89" w:rsidRPr="00646DA8" w14:paraId="52AC0351" w14:textId="77777777" w:rsidTr="00CF0349">
        <w:trPr>
          <w:trHeight w:val="274"/>
        </w:trPr>
        <w:tc>
          <w:tcPr>
            <w:tcW w:w="1496" w:type="pct"/>
            <w:shd w:val="clear" w:color="auto" w:fill="auto"/>
          </w:tcPr>
          <w:p w14:paraId="16005345" w14:textId="17FC26F7" w:rsidR="003E4B89" w:rsidRPr="00646DA8" w:rsidRDefault="003E4B89" w:rsidP="003E4B89">
            <w:pPr>
              <w:pStyle w:val="PlainText"/>
              <w:jc w:val="left"/>
              <w:rPr>
                <w:rFonts w:ascii="Times New Roman" w:eastAsia="Times New Roman" w:hAnsi="Times New Roman" w:cs="Times New Roman"/>
                <w:lang w:val="lv-LV" w:eastAsia="lv-LV"/>
              </w:rPr>
            </w:pPr>
            <w:r w:rsidRPr="00F7339C">
              <w:rPr>
                <w:rFonts w:ascii="Times New Roman" w:eastAsia="Times New Roman" w:hAnsi="Times New Roman" w:cs="Times New Roman"/>
                <w:lang w:val="lv-LV" w:eastAsia="lv-LV"/>
              </w:rPr>
              <w:t>Par kādiem līdzekļiem jānodrošina projektā sagatavotā koplietojamā un atvērtā uzturēšanu un atjaunošanu pēc projekta beigām?  Ja studiju kursa realizācijai ir nepieciešama kāda licence un tā netiek turpmāk finansēta no projekta, tad kas ir tas, kas tiek nodots koplietošanai ar atvērto pieeju. Vai tie ir nedzīvi materiāli, kas zaudē aktualitāti tūlīt pēc projekta beigām?</w:t>
            </w:r>
          </w:p>
        </w:tc>
        <w:tc>
          <w:tcPr>
            <w:tcW w:w="3504" w:type="pct"/>
            <w:shd w:val="clear" w:color="auto" w:fill="auto"/>
          </w:tcPr>
          <w:p w14:paraId="25874D44" w14:textId="1BBF5959" w:rsidR="003E4B89" w:rsidRPr="00F7339C" w:rsidRDefault="003E4B89" w:rsidP="003E4B89">
            <w:pPr>
              <w:rPr>
                <w:rFonts w:cs="Times New Roman"/>
                <w:i/>
                <w:iCs/>
                <w:color w:val="0070C0"/>
              </w:rPr>
            </w:pPr>
            <w:r w:rsidRPr="00F7339C">
              <w:rPr>
                <w:i/>
                <w:iCs/>
                <w:color w:val="0070C0"/>
              </w:rPr>
              <w:t xml:space="preserve">Projekta iesniedzējam ar sadarbības partneriem ir jāvienojas, kā pēc projekta beigām tiks nodrošināta projekta rezultātu ilgtspēja, tai skaitā licenču atjaunošana (šos nosacījumus var paredzēt sadarbības līgumā). Ja projektā radīto saturu un citus risinājumus izmanto citas augstskolas, kas nav projekta sadarbības partneri, un tas </w:t>
            </w:r>
            <w:r w:rsidRPr="00F7339C">
              <w:rPr>
                <w:b/>
                <w:i/>
                <w:iCs/>
                <w:color w:val="0070C0"/>
              </w:rPr>
              <w:t>projekta iesniedzējam rada papildu izmaksas (tehnoloģiju uzturēšanas izmaksas, licenču atjaunošana), tad var noteikt prasību citām augstskolām segt šīs izmaksas</w:t>
            </w:r>
            <w:r w:rsidRPr="00F7339C">
              <w:rPr>
                <w:i/>
                <w:iCs/>
                <w:color w:val="0070C0"/>
              </w:rPr>
              <w:t xml:space="preserve"> (faktiskās izmaksas).</w:t>
            </w:r>
          </w:p>
        </w:tc>
      </w:tr>
      <w:tr w:rsidR="003E4B89" w:rsidRPr="00646DA8" w14:paraId="0CBBD27F" w14:textId="77777777" w:rsidTr="00CF0349">
        <w:trPr>
          <w:trHeight w:val="274"/>
        </w:trPr>
        <w:tc>
          <w:tcPr>
            <w:tcW w:w="1496" w:type="pct"/>
            <w:shd w:val="clear" w:color="auto" w:fill="auto"/>
          </w:tcPr>
          <w:p w14:paraId="325E0C4F" w14:textId="30A2DA0A" w:rsidR="003E4B89" w:rsidRPr="00F7339C" w:rsidRDefault="003E4B89" w:rsidP="003E4B89">
            <w:pPr>
              <w:pStyle w:val="PlainText"/>
              <w:jc w:val="left"/>
              <w:rPr>
                <w:rFonts w:ascii="Times New Roman" w:eastAsia="Times New Roman" w:hAnsi="Times New Roman" w:cs="Times New Roman"/>
                <w:lang w:val="lv-LV" w:eastAsia="lv-LV"/>
              </w:rPr>
            </w:pPr>
            <w:r w:rsidRPr="0074097F">
              <w:rPr>
                <w:rFonts w:ascii="Times New Roman" w:eastAsia="Times New Roman" w:hAnsi="Times New Roman" w:cs="Times New Roman"/>
                <w:lang w:val="lv-LV" w:eastAsia="lv-LV"/>
              </w:rPr>
              <w:t>Kā viena augstskola var nodrošināt kursa docēšanu visai valstij? Vai kursi ir domāti tikai patstāvīgi apgūstami, bez pasniedzēja iesaistes?</w:t>
            </w:r>
          </w:p>
        </w:tc>
        <w:tc>
          <w:tcPr>
            <w:tcW w:w="3504" w:type="pct"/>
            <w:shd w:val="clear" w:color="auto" w:fill="auto"/>
          </w:tcPr>
          <w:p w14:paraId="4003AF2E" w14:textId="1CAB52D8" w:rsidR="003E4B89" w:rsidRPr="0074097F" w:rsidRDefault="003E4B89" w:rsidP="003E4B89">
            <w:pPr>
              <w:rPr>
                <w:i/>
                <w:iCs/>
                <w:color w:val="0070C0"/>
              </w:rPr>
            </w:pPr>
            <w:r w:rsidRPr="0074097F">
              <w:rPr>
                <w:i/>
                <w:iCs/>
                <w:color w:val="0070C0"/>
              </w:rPr>
              <w:t xml:space="preserve">Augstskola var piedāvāt iespēju citu augstskolu studējošajiem apgūt projekta ietvaros radīto (adaptēto) studiju kursu/moduli (iespēju robežās), bet tas nenozīmē, ka būtu jānodrošina šī kursa docēšana visai valstij. </w:t>
            </w:r>
          </w:p>
          <w:p w14:paraId="5D0B11EE" w14:textId="68643D64" w:rsidR="003E4B89" w:rsidRPr="0074097F" w:rsidRDefault="003E4B89" w:rsidP="003E4B89">
            <w:pPr>
              <w:rPr>
                <w:i/>
                <w:iCs/>
                <w:color w:val="0070C0"/>
              </w:rPr>
            </w:pPr>
            <w:r w:rsidRPr="0074097F">
              <w:rPr>
                <w:i/>
                <w:iCs/>
                <w:color w:val="0070C0"/>
              </w:rPr>
              <w:t>Tas, kādā veidā būs apgūstami studiju kursi (ar vai bez pasniedzēju iesaistes), ir projekta iesniedzēja un sadarbības partneru kompetences jautājums.</w:t>
            </w:r>
          </w:p>
        </w:tc>
      </w:tr>
      <w:tr w:rsidR="003E4B89" w:rsidRPr="00646DA8" w14:paraId="1E154BE4" w14:textId="77777777" w:rsidTr="00CF0349">
        <w:trPr>
          <w:trHeight w:val="274"/>
        </w:trPr>
        <w:tc>
          <w:tcPr>
            <w:tcW w:w="1496" w:type="pct"/>
            <w:shd w:val="clear" w:color="auto" w:fill="auto"/>
          </w:tcPr>
          <w:p w14:paraId="025DDE0E" w14:textId="1B82A709" w:rsidR="003E4B89" w:rsidRPr="0074097F" w:rsidRDefault="003E4B89" w:rsidP="003E4B89">
            <w:pPr>
              <w:pStyle w:val="PlainText"/>
              <w:jc w:val="left"/>
              <w:rPr>
                <w:rFonts w:ascii="Times New Roman" w:eastAsia="Times New Roman" w:hAnsi="Times New Roman" w:cs="Times New Roman"/>
                <w:lang w:val="lv-LV" w:eastAsia="lv-LV"/>
              </w:rPr>
            </w:pPr>
            <w:r w:rsidRPr="0074097F">
              <w:rPr>
                <w:rFonts w:ascii="Times New Roman" w:eastAsia="Times New Roman" w:hAnsi="Times New Roman" w:cs="Times New Roman"/>
                <w:lang w:val="lv-LV" w:eastAsia="lv-LV"/>
              </w:rPr>
              <w:t xml:space="preserve">Gadījumā, ja iepērkam </w:t>
            </w:r>
            <w:proofErr w:type="spellStart"/>
            <w:r w:rsidRPr="0074097F">
              <w:rPr>
                <w:rFonts w:ascii="Times New Roman" w:eastAsia="Times New Roman" w:hAnsi="Times New Roman" w:cs="Times New Roman"/>
                <w:lang w:val="lv-LV" w:eastAsia="lv-LV"/>
              </w:rPr>
              <w:t>Edex</w:t>
            </w:r>
            <w:proofErr w:type="spellEnd"/>
            <w:r w:rsidRPr="0074097F">
              <w:rPr>
                <w:rFonts w:ascii="Times New Roman" w:eastAsia="Times New Roman" w:hAnsi="Times New Roman" w:cs="Times New Roman"/>
                <w:lang w:val="lv-LV" w:eastAsia="lv-LV"/>
              </w:rPr>
              <w:t xml:space="preserve"> vai līdzīgas platformas kursus, kā tad nodrošināt ilgtspēju? Izmaksas vienam modulim ir ļoti augstas. Kā pārliecināties, ka studējošais ir tas, kurš ir apguvis studiju kursu? Vai tā ir labā prakse, kas kursus atzīst par studiju programmas saturu? </w:t>
            </w:r>
            <w:proofErr w:type="spellStart"/>
            <w:r w:rsidRPr="0074097F">
              <w:rPr>
                <w:rFonts w:ascii="Times New Roman" w:eastAsia="Times New Roman" w:hAnsi="Times New Roman" w:cs="Times New Roman"/>
                <w:lang w:val="lv-LV" w:eastAsia="lv-LV"/>
              </w:rPr>
              <w:t>Edex</w:t>
            </w:r>
            <w:proofErr w:type="spellEnd"/>
            <w:r w:rsidRPr="0074097F">
              <w:rPr>
                <w:rFonts w:ascii="Times New Roman" w:eastAsia="Times New Roman" w:hAnsi="Times New Roman" w:cs="Times New Roman"/>
                <w:lang w:val="lv-LV" w:eastAsia="lv-LV"/>
              </w:rPr>
              <w:t xml:space="preserve"> kursus bez sertifikāta var apgūt bez maksas, ja ir vajadzīgas zināšanas katrs var mācīties. </w:t>
            </w:r>
          </w:p>
          <w:p w14:paraId="137E7CB6" w14:textId="661C690B" w:rsidR="003E4B89" w:rsidRPr="0074097F" w:rsidRDefault="003E4B89" w:rsidP="003E4B89">
            <w:pPr>
              <w:pStyle w:val="PlainText"/>
              <w:jc w:val="left"/>
              <w:rPr>
                <w:rFonts w:ascii="Times New Roman" w:eastAsia="Times New Roman" w:hAnsi="Times New Roman" w:cs="Times New Roman"/>
                <w:lang w:val="lv-LV" w:eastAsia="lv-LV"/>
              </w:rPr>
            </w:pPr>
            <w:r w:rsidRPr="0074097F">
              <w:rPr>
                <w:rFonts w:ascii="Times New Roman" w:eastAsia="Times New Roman" w:hAnsi="Times New Roman" w:cs="Times New Roman"/>
                <w:lang w:val="lv-LV" w:eastAsia="lv-LV"/>
              </w:rPr>
              <w:t xml:space="preserve">Vai saistībā ar </w:t>
            </w:r>
            <w:proofErr w:type="spellStart"/>
            <w:r w:rsidRPr="0074097F">
              <w:rPr>
                <w:rFonts w:ascii="Times New Roman" w:eastAsia="Times New Roman" w:hAnsi="Times New Roman" w:cs="Times New Roman"/>
                <w:lang w:val="lv-LV" w:eastAsia="lv-LV"/>
              </w:rPr>
              <w:t>digitalizāciju</w:t>
            </w:r>
            <w:proofErr w:type="spellEnd"/>
            <w:r w:rsidRPr="0074097F">
              <w:rPr>
                <w:rFonts w:ascii="Times New Roman" w:eastAsia="Times New Roman" w:hAnsi="Times New Roman" w:cs="Times New Roman"/>
                <w:lang w:val="lv-LV" w:eastAsia="lv-LV"/>
              </w:rPr>
              <w:t xml:space="preserve"> tiek sagaidīts, ka neformālās izglītības kursi tiks iekļauti formālajā izglītībā?</w:t>
            </w:r>
          </w:p>
        </w:tc>
        <w:tc>
          <w:tcPr>
            <w:tcW w:w="3504" w:type="pct"/>
            <w:shd w:val="clear" w:color="auto" w:fill="auto"/>
          </w:tcPr>
          <w:p w14:paraId="761F2D80" w14:textId="635C63D2" w:rsidR="003E4B89" w:rsidRPr="006A05D9" w:rsidRDefault="003E4B89" w:rsidP="003E4B89">
            <w:pPr>
              <w:rPr>
                <w:i/>
                <w:iCs/>
                <w:color w:val="0070C0"/>
              </w:rPr>
            </w:pPr>
            <w:r w:rsidRPr="006A05D9">
              <w:rPr>
                <w:i/>
                <w:iCs/>
                <w:color w:val="0070C0"/>
              </w:rPr>
              <w:t xml:space="preserve">Projekta nav atbalstāma </w:t>
            </w:r>
            <w:proofErr w:type="spellStart"/>
            <w:r w:rsidRPr="006A05D9">
              <w:rPr>
                <w:i/>
                <w:iCs/>
                <w:color w:val="0070C0"/>
              </w:rPr>
              <w:t>edX</w:t>
            </w:r>
            <w:proofErr w:type="spellEnd"/>
            <w:r w:rsidRPr="006A05D9">
              <w:rPr>
                <w:i/>
                <w:iCs/>
                <w:color w:val="0070C0"/>
              </w:rPr>
              <w:t xml:space="preserve"> vai citās mācību platformās apgūto kursu un iegūto sertifikātu pielīdzināšana (neformālās izglītības rezultātu pielīdzināšana) un iekļaušana formālajā izglītībā. Vienlaikus no projekta ir atbalstāma </w:t>
            </w:r>
            <w:proofErr w:type="spellStart"/>
            <w:r w:rsidRPr="006A05D9">
              <w:rPr>
                <w:i/>
                <w:iCs/>
                <w:color w:val="0070C0"/>
              </w:rPr>
              <w:t>edX</w:t>
            </w:r>
            <w:proofErr w:type="spellEnd"/>
            <w:r w:rsidRPr="006A05D9">
              <w:rPr>
                <w:i/>
                <w:iCs/>
                <w:color w:val="0070C0"/>
              </w:rPr>
              <w:t xml:space="preserve"> vai citās mācību platformās pieejamo kursu tulkošana, pielāgošana, integrēšana sava studiju kursa ietvaros (lai bagātinātu un papildinātu saturu), iegādājoties attiecīgas atļaujas (licences) no šo kursu īpašnieka šādu darbību veikšanai un veicot par to samaksu no projekta.</w:t>
            </w:r>
          </w:p>
          <w:p w14:paraId="768316F9" w14:textId="25216D08" w:rsidR="003E4B89" w:rsidRPr="006A05D9" w:rsidRDefault="003E4B89" w:rsidP="003E4B89">
            <w:pPr>
              <w:rPr>
                <w:i/>
                <w:iCs/>
                <w:color w:val="0070C0"/>
              </w:rPr>
            </w:pPr>
            <w:r w:rsidRPr="006A05D9">
              <w:rPr>
                <w:i/>
                <w:iCs/>
                <w:color w:val="0070C0"/>
              </w:rPr>
              <w:t xml:space="preserve">Projekta rezultātu ilgtspēja ir projekta iesniedzēja atbildība. Projektu </w:t>
            </w:r>
            <w:r w:rsidRPr="006A05D9">
              <w:rPr>
                <w:b/>
                <w:bCs/>
                <w:i/>
                <w:iCs/>
                <w:color w:val="0070C0"/>
              </w:rPr>
              <w:t>vērtēšanas kritērija Nr.3.5.3</w:t>
            </w:r>
            <w:r w:rsidRPr="006A05D9">
              <w:rPr>
                <w:i/>
                <w:iCs/>
                <w:color w:val="0070C0"/>
              </w:rPr>
              <w:t xml:space="preserve">. piemērošanas skaidrojumā ir teikts, ka projekta iesniegumā ir aprakstīts, kā tiks nodrošināta projekta ietvaros veikto pasākumu un rezultātu ilgtspēja pēc projekta noslēguma, tai skaitā paredzēts, ka iegādātās infrastruktūras uzturēšanas izmaksas un iegādāto licenču atjauninājuma izmaksas pēc projekta pabeigšanas </w:t>
            </w:r>
            <w:r w:rsidRPr="006A05D9">
              <w:rPr>
                <w:b/>
                <w:bCs/>
                <w:i/>
                <w:iCs/>
                <w:color w:val="0070C0"/>
              </w:rPr>
              <w:t>tiks segtas no projekta iesniedzēja līdzekļiem</w:t>
            </w:r>
          </w:p>
        </w:tc>
      </w:tr>
    </w:tbl>
    <w:p w14:paraId="38F6A851" w14:textId="77777777" w:rsidR="005F3647" w:rsidRPr="00646DA8" w:rsidRDefault="005F3647" w:rsidP="005F3647">
      <w:pPr>
        <w:jc w:val="center"/>
      </w:pPr>
    </w:p>
    <w:sectPr w:rsidR="005F3647" w:rsidRPr="00646DA8" w:rsidSect="005F3647">
      <w:pgSz w:w="16838" w:h="11906" w:orient="landscape"/>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A0A"/>
    <w:multiLevelType w:val="hybridMultilevel"/>
    <w:tmpl w:val="F5847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491B73"/>
    <w:multiLevelType w:val="hybridMultilevel"/>
    <w:tmpl w:val="A7A4E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0B15D5"/>
    <w:multiLevelType w:val="hybridMultilevel"/>
    <w:tmpl w:val="931C04CE"/>
    <w:lvl w:ilvl="0" w:tplc="CB2E24D2">
      <w:start w:val="1"/>
      <w:numFmt w:val="bullet"/>
      <w:lvlText w:val=""/>
      <w:lvlJc w:val="left"/>
      <w:pPr>
        <w:tabs>
          <w:tab w:val="num" w:pos="720"/>
        </w:tabs>
        <w:ind w:left="720" w:hanging="360"/>
      </w:pPr>
      <w:rPr>
        <w:rFonts w:ascii="Wingdings" w:hAnsi="Wingdings" w:hint="default"/>
      </w:rPr>
    </w:lvl>
    <w:lvl w:ilvl="1" w:tplc="F8F2F73A">
      <w:start w:val="1"/>
      <w:numFmt w:val="bullet"/>
      <w:lvlText w:val=""/>
      <w:lvlJc w:val="left"/>
      <w:pPr>
        <w:tabs>
          <w:tab w:val="num" w:pos="1440"/>
        </w:tabs>
        <w:ind w:left="1440" w:hanging="360"/>
      </w:pPr>
      <w:rPr>
        <w:rFonts w:ascii="Wingdings" w:hAnsi="Wingdings" w:hint="default"/>
      </w:rPr>
    </w:lvl>
    <w:lvl w:ilvl="2" w:tplc="1BD2ABF8">
      <w:numFmt w:val="bullet"/>
      <w:lvlText w:val=""/>
      <w:lvlJc w:val="left"/>
      <w:pPr>
        <w:tabs>
          <w:tab w:val="num" w:pos="2160"/>
        </w:tabs>
        <w:ind w:left="2160" w:hanging="360"/>
      </w:pPr>
      <w:rPr>
        <w:rFonts w:ascii="Wingdings" w:hAnsi="Wingdings" w:hint="default"/>
      </w:rPr>
    </w:lvl>
    <w:lvl w:ilvl="3" w:tplc="F956FFF6" w:tentative="1">
      <w:start w:val="1"/>
      <w:numFmt w:val="bullet"/>
      <w:lvlText w:val=""/>
      <w:lvlJc w:val="left"/>
      <w:pPr>
        <w:tabs>
          <w:tab w:val="num" w:pos="2880"/>
        </w:tabs>
        <w:ind w:left="2880" w:hanging="360"/>
      </w:pPr>
      <w:rPr>
        <w:rFonts w:ascii="Wingdings" w:hAnsi="Wingdings" w:hint="default"/>
      </w:rPr>
    </w:lvl>
    <w:lvl w:ilvl="4" w:tplc="27542B5A" w:tentative="1">
      <w:start w:val="1"/>
      <w:numFmt w:val="bullet"/>
      <w:lvlText w:val=""/>
      <w:lvlJc w:val="left"/>
      <w:pPr>
        <w:tabs>
          <w:tab w:val="num" w:pos="3600"/>
        </w:tabs>
        <w:ind w:left="3600" w:hanging="360"/>
      </w:pPr>
      <w:rPr>
        <w:rFonts w:ascii="Wingdings" w:hAnsi="Wingdings" w:hint="default"/>
      </w:rPr>
    </w:lvl>
    <w:lvl w:ilvl="5" w:tplc="9C480432" w:tentative="1">
      <w:start w:val="1"/>
      <w:numFmt w:val="bullet"/>
      <w:lvlText w:val=""/>
      <w:lvlJc w:val="left"/>
      <w:pPr>
        <w:tabs>
          <w:tab w:val="num" w:pos="4320"/>
        </w:tabs>
        <w:ind w:left="4320" w:hanging="360"/>
      </w:pPr>
      <w:rPr>
        <w:rFonts w:ascii="Wingdings" w:hAnsi="Wingdings" w:hint="default"/>
      </w:rPr>
    </w:lvl>
    <w:lvl w:ilvl="6" w:tplc="44ACE404" w:tentative="1">
      <w:start w:val="1"/>
      <w:numFmt w:val="bullet"/>
      <w:lvlText w:val=""/>
      <w:lvlJc w:val="left"/>
      <w:pPr>
        <w:tabs>
          <w:tab w:val="num" w:pos="5040"/>
        </w:tabs>
        <w:ind w:left="5040" w:hanging="360"/>
      </w:pPr>
      <w:rPr>
        <w:rFonts w:ascii="Wingdings" w:hAnsi="Wingdings" w:hint="default"/>
      </w:rPr>
    </w:lvl>
    <w:lvl w:ilvl="7" w:tplc="326483BC" w:tentative="1">
      <w:start w:val="1"/>
      <w:numFmt w:val="bullet"/>
      <w:lvlText w:val=""/>
      <w:lvlJc w:val="left"/>
      <w:pPr>
        <w:tabs>
          <w:tab w:val="num" w:pos="5760"/>
        </w:tabs>
        <w:ind w:left="5760" w:hanging="360"/>
      </w:pPr>
      <w:rPr>
        <w:rFonts w:ascii="Wingdings" w:hAnsi="Wingdings" w:hint="default"/>
      </w:rPr>
    </w:lvl>
    <w:lvl w:ilvl="8" w:tplc="3B1C09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71B74"/>
    <w:multiLevelType w:val="hybridMultilevel"/>
    <w:tmpl w:val="A81A5C44"/>
    <w:lvl w:ilvl="0" w:tplc="868046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D714AD"/>
    <w:multiLevelType w:val="multilevel"/>
    <w:tmpl w:val="0426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75E37"/>
    <w:multiLevelType w:val="hybridMultilevel"/>
    <w:tmpl w:val="59600B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C477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E86383"/>
    <w:multiLevelType w:val="hybridMultilevel"/>
    <w:tmpl w:val="D5C2FC44"/>
    <w:lvl w:ilvl="0" w:tplc="5B08D4BC">
      <w:start w:val="1"/>
      <w:numFmt w:val="decimal"/>
      <w:lvlText w:val="%1."/>
      <w:lvlJc w:val="left"/>
      <w:pPr>
        <w:ind w:left="720" w:hanging="360"/>
      </w:pPr>
      <w:rPr>
        <w:rFonts w:ascii="Calibri" w:eastAsia="Calibri" w:hAnsi="Calibri" w:cs="Calibri"/>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B36589E"/>
    <w:multiLevelType w:val="hybridMultilevel"/>
    <w:tmpl w:val="F44E0C2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A15E10"/>
    <w:multiLevelType w:val="hybridMultilevel"/>
    <w:tmpl w:val="82D25144"/>
    <w:lvl w:ilvl="0" w:tplc="1740685E">
      <w:start w:val="1"/>
      <w:numFmt w:val="decimal"/>
      <w:pStyle w:val="Heading1"/>
      <w:lvlText w:val="%1."/>
      <w:lvlJc w:val="left"/>
      <w:pPr>
        <w:ind w:left="720" w:hanging="360"/>
      </w:pPr>
      <w:rPr>
        <w:b/>
        <w:bCs/>
        <w:i w:val="0"/>
        <w:i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9024A0"/>
    <w:multiLevelType w:val="hybridMultilevel"/>
    <w:tmpl w:val="83EEAB7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19362CE"/>
    <w:multiLevelType w:val="hybridMultilevel"/>
    <w:tmpl w:val="FF923D7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89B1B04"/>
    <w:multiLevelType w:val="hybridMultilevel"/>
    <w:tmpl w:val="334EAF66"/>
    <w:lvl w:ilvl="0" w:tplc="C4462DC2">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DD765E"/>
    <w:multiLevelType w:val="hybridMultilevel"/>
    <w:tmpl w:val="7D2C83E2"/>
    <w:lvl w:ilvl="0" w:tplc="DB24B076">
      <w:start w:val="2"/>
      <w:numFmt w:val="decimal"/>
      <w:lvlText w:val="%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7F6A00"/>
    <w:multiLevelType w:val="hybridMultilevel"/>
    <w:tmpl w:val="BD608FBC"/>
    <w:lvl w:ilvl="0" w:tplc="0426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34105AB"/>
    <w:multiLevelType w:val="hybridMultilevel"/>
    <w:tmpl w:val="1CCE710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6" w15:restartNumberingAfterBreak="0">
    <w:nsid w:val="6F460FE8"/>
    <w:multiLevelType w:val="hybridMultilevel"/>
    <w:tmpl w:val="FF9EF9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F98714E"/>
    <w:multiLevelType w:val="multilevel"/>
    <w:tmpl w:val="1FCC55B2"/>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0D1951"/>
    <w:multiLevelType w:val="hybridMultilevel"/>
    <w:tmpl w:val="C0144F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4"/>
  </w:num>
  <w:num w:numId="3">
    <w:abstractNumId w:val="13"/>
  </w:num>
  <w:num w:numId="4">
    <w:abstractNumId w:val="6"/>
  </w:num>
  <w:num w:numId="5">
    <w:abstractNumId w:val="12"/>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num>
  <w:num w:numId="10">
    <w:abstractNumId w:val="11"/>
  </w:num>
  <w:num w:numId="11">
    <w:abstractNumId w:val="5"/>
  </w:num>
  <w:num w:numId="12">
    <w:abstractNumId w:val="8"/>
  </w:num>
  <w:num w:numId="13">
    <w:abstractNumId w:val="18"/>
  </w:num>
  <w:num w:numId="14">
    <w:abstractNumId w:val="3"/>
  </w:num>
  <w:num w:numId="15">
    <w:abstractNumId w:val="0"/>
  </w:num>
  <w:num w:numId="16">
    <w:abstractNumId w:val="16"/>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1"/>
  </w:num>
  <w:num w:numId="20">
    <w:abstractNumId w:val="9"/>
  </w:num>
  <w:num w:numId="21">
    <w:abstractNumId w:val="9"/>
    <w:lvlOverride w:ilvl="0">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19"/>
    <w:rsid w:val="00006DC7"/>
    <w:rsid w:val="0001527A"/>
    <w:rsid w:val="00076B33"/>
    <w:rsid w:val="000A2D11"/>
    <w:rsid w:val="000B05BE"/>
    <w:rsid w:val="000E5219"/>
    <w:rsid w:val="001E7ACB"/>
    <w:rsid w:val="00230F47"/>
    <w:rsid w:val="00251C0D"/>
    <w:rsid w:val="002A6566"/>
    <w:rsid w:val="002C4371"/>
    <w:rsid w:val="002D22B0"/>
    <w:rsid w:val="002D75B3"/>
    <w:rsid w:val="00335061"/>
    <w:rsid w:val="003366D3"/>
    <w:rsid w:val="003E4B89"/>
    <w:rsid w:val="00484EFB"/>
    <w:rsid w:val="004B01C6"/>
    <w:rsid w:val="004B78E4"/>
    <w:rsid w:val="005478F9"/>
    <w:rsid w:val="005976D3"/>
    <w:rsid w:val="005B721A"/>
    <w:rsid w:val="005F3647"/>
    <w:rsid w:val="00646DA8"/>
    <w:rsid w:val="006A05D9"/>
    <w:rsid w:val="00735E7E"/>
    <w:rsid w:val="0074097F"/>
    <w:rsid w:val="007B4219"/>
    <w:rsid w:val="008312A0"/>
    <w:rsid w:val="00855EC0"/>
    <w:rsid w:val="008739AB"/>
    <w:rsid w:val="00880B46"/>
    <w:rsid w:val="00964A25"/>
    <w:rsid w:val="009E6C87"/>
    <w:rsid w:val="00A35BCB"/>
    <w:rsid w:val="00A77F8D"/>
    <w:rsid w:val="00AE6FF2"/>
    <w:rsid w:val="00B319FE"/>
    <w:rsid w:val="00B93FD7"/>
    <w:rsid w:val="00C207D4"/>
    <w:rsid w:val="00C6343E"/>
    <w:rsid w:val="00CF0349"/>
    <w:rsid w:val="00D85B9D"/>
    <w:rsid w:val="00E74219"/>
    <w:rsid w:val="00E913DA"/>
    <w:rsid w:val="00EB3CA6"/>
    <w:rsid w:val="00EC7320"/>
    <w:rsid w:val="00EE377E"/>
    <w:rsid w:val="00F12817"/>
    <w:rsid w:val="00F15A74"/>
    <w:rsid w:val="00F7339C"/>
    <w:rsid w:val="00FA44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E220"/>
  <w15:chartTrackingRefBased/>
  <w15:docId w15:val="{0B1C619C-D8A1-4017-B530-287E0730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17"/>
    <w:pPr>
      <w:spacing w:before="120" w:after="120" w:line="240" w:lineRule="auto"/>
      <w:jc w:val="both"/>
    </w:pPr>
    <w:rPr>
      <w:rFonts w:ascii="Times New Roman" w:hAnsi="Times New Roman"/>
    </w:rPr>
  </w:style>
  <w:style w:type="paragraph" w:styleId="Heading1">
    <w:name w:val="heading 1"/>
    <w:basedOn w:val="Normal"/>
    <w:next w:val="Normal"/>
    <w:link w:val="Heading1Char"/>
    <w:uiPriority w:val="9"/>
    <w:qFormat/>
    <w:rsid w:val="008312A0"/>
    <w:pPr>
      <w:keepNext/>
      <w:numPr>
        <w:numId w:val="20"/>
      </w:numPr>
      <w:jc w:val="center"/>
      <w:outlineLvl w:val="0"/>
    </w:pPr>
    <w:rPr>
      <w:rFonts w:eastAsia="Times New Roman"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2A0"/>
    <w:rPr>
      <w:rFonts w:ascii="Times New Roman" w:eastAsia="Times New Roman" w:hAnsi="Times New Roman" w:cs="Times New Roman"/>
      <w:b/>
      <w:bCs/>
      <w:kern w:val="32"/>
      <w:sz w:val="24"/>
      <w:szCs w:val="32"/>
    </w:rPr>
  </w:style>
  <w:style w:type="paragraph" w:styleId="ListParagraph">
    <w:name w:val="List Paragraph"/>
    <w:aliases w:val="H&amp;P List Paragraph,2,Strip,Saraksta rindkopa1,Normal bullet 2,Bullet list,Saraksta rindkopa,Colorful List - Accent 12,List Paragraph1,List1,Akapit z listą BS,Numbered Para 1,Dot pt,List Paragraph Char Char Char,Indicator Text,Bullet 1"/>
    <w:basedOn w:val="Normal"/>
    <w:link w:val="ListParagraphChar"/>
    <w:uiPriority w:val="34"/>
    <w:qFormat/>
    <w:rsid w:val="00646DA8"/>
    <w:pPr>
      <w:spacing w:after="200"/>
      <w:ind w:left="720"/>
    </w:pPr>
    <w:rPr>
      <w:rFonts w:eastAsia="Cambria" w:cs="Times New Roman"/>
      <w:szCs w:val="24"/>
      <w:lang w:val="en-US"/>
    </w:r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uiPriority w:val="34"/>
    <w:locked/>
    <w:rsid w:val="00646DA8"/>
    <w:rPr>
      <w:rFonts w:ascii="Times New Roman" w:eastAsia="Cambria" w:hAnsi="Times New Roman" w:cs="Times New Roman"/>
      <w:szCs w:val="24"/>
      <w:lang w:val="en-US"/>
    </w:rPr>
  </w:style>
  <w:style w:type="paragraph" w:styleId="PlainText">
    <w:name w:val="Plain Text"/>
    <w:basedOn w:val="Normal"/>
    <w:link w:val="PlainTextChar"/>
    <w:uiPriority w:val="99"/>
    <w:unhideWhenUsed/>
    <w:rsid w:val="005F3647"/>
    <w:pPr>
      <w:spacing w:after="0"/>
    </w:pPr>
    <w:rPr>
      <w:rFonts w:ascii="Calibri" w:hAnsi="Calibri" w:cs="Calibri"/>
      <w:lang w:val="en-US"/>
    </w:rPr>
  </w:style>
  <w:style w:type="character" w:customStyle="1" w:styleId="PlainTextChar">
    <w:name w:val="Plain Text Char"/>
    <w:basedOn w:val="DefaultParagraphFont"/>
    <w:link w:val="PlainText"/>
    <w:uiPriority w:val="99"/>
    <w:rsid w:val="005F3647"/>
    <w:rPr>
      <w:rFonts w:ascii="Calibri" w:hAnsi="Calibri" w:cs="Calibri"/>
      <w:lang w:val="en-US"/>
    </w:rPr>
  </w:style>
  <w:style w:type="character" w:styleId="Hyperlink">
    <w:name w:val="Hyperlink"/>
    <w:basedOn w:val="DefaultParagraphFont"/>
    <w:uiPriority w:val="99"/>
    <w:unhideWhenUsed/>
    <w:rsid w:val="005F3647"/>
    <w:rPr>
      <w:color w:val="0000FF"/>
      <w:u w:val="single"/>
    </w:rPr>
  </w:style>
  <w:style w:type="paragraph" w:customStyle="1" w:styleId="tvhtml">
    <w:name w:val="tv_html"/>
    <w:basedOn w:val="Normal"/>
    <w:rsid w:val="005F3647"/>
    <w:pPr>
      <w:spacing w:before="100" w:beforeAutospacing="1" w:after="100" w:afterAutospacing="1"/>
    </w:pPr>
    <w:rPr>
      <w:rFonts w:ascii="Verdana" w:eastAsia="Times New Roman" w:hAnsi="Verdana" w:cs="Times New Roman"/>
      <w:sz w:val="18"/>
      <w:szCs w:val="18"/>
      <w:lang w:eastAsia="lv-LV"/>
    </w:rPr>
  </w:style>
  <w:style w:type="paragraph" w:customStyle="1" w:styleId="tv213">
    <w:name w:val="tv213"/>
    <w:basedOn w:val="Normal"/>
    <w:rsid w:val="005F3647"/>
    <w:pPr>
      <w:spacing w:before="100" w:beforeAutospacing="1" w:after="100" w:afterAutospacing="1"/>
    </w:pPr>
    <w:rPr>
      <w:rFonts w:ascii="Calibri" w:hAnsi="Calibri" w:cs="Calibri"/>
      <w:lang w:val="en-US"/>
    </w:rPr>
  </w:style>
  <w:style w:type="paragraph" w:styleId="TOCHeading">
    <w:name w:val="TOC Heading"/>
    <w:basedOn w:val="Heading1"/>
    <w:next w:val="Normal"/>
    <w:uiPriority w:val="39"/>
    <w:unhideWhenUsed/>
    <w:qFormat/>
    <w:rsid w:val="005F3647"/>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5F3647"/>
    <w:pPr>
      <w:spacing w:after="100"/>
    </w:pPr>
  </w:style>
  <w:style w:type="paragraph" w:customStyle="1" w:styleId="tv20787921">
    <w:name w:val="tv207_87_921"/>
    <w:basedOn w:val="Normal"/>
    <w:rsid w:val="005F3647"/>
    <w:pPr>
      <w:spacing w:after="567" w:line="360" w:lineRule="auto"/>
      <w:jc w:val="center"/>
    </w:pPr>
    <w:rPr>
      <w:rFonts w:ascii="Verdana" w:eastAsia="Times New Roman" w:hAnsi="Verdana" w:cs="Times New Roman"/>
      <w:b/>
      <w:bCs/>
      <w:sz w:val="28"/>
      <w:szCs w:val="28"/>
      <w:lang w:eastAsia="zh-CN"/>
    </w:rPr>
  </w:style>
  <w:style w:type="character" w:styleId="UnresolvedMention">
    <w:name w:val="Unresolved Mention"/>
    <w:basedOn w:val="DefaultParagraphFont"/>
    <w:uiPriority w:val="99"/>
    <w:semiHidden/>
    <w:unhideWhenUsed/>
    <w:rsid w:val="003366D3"/>
    <w:rPr>
      <w:color w:val="605E5C"/>
      <w:shd w:val="clear" w:color="auto" w:fill="E1DFDD"/>
    </w:rPr>
  </w:style>
  <w:style w:type="paragraph" w:styleId="Header">
    <w:name w:val="header"/>
    <w:basedOn w:val="Normal"/>
    <w:link w:val="HeaderChar"/>
    <w:uiPriority w:val="99"/>
    <w:unhideWhenUsed/>
    <w:rsid w:val="00AE6FF2"/>
    <w:pPr>
      <w:tabs>
        <w:tab w:val="center" w:pos="4320"/>
        <w:tab w:val="right" w:pos="8640"/>
      </w:tabs>
      <w:spacing w:before="0" w:after="0"/>
      <w:jc w:val="left"/>
    </w:pPr>
    <w:rPr>
      <w:rFonts w:asciiTheme="minorHAnsi" w:hAnsiTheme="minorHAnsi"/>
      <w:lang w:val="en-US"/>
    </w:rPr>
  </w:style>
  <w:style w:type="character" w:customStyle="1" w:styleId="HeaderChar">
    <w:name w:val="Header Char"/>
    <w:basedOn w:val="DefaultParagraphFont"/>
    <w:link w:val="Header"/>
    <w:uiPriority w:val="99"/>
    <w:rsid w:val="00AE6FF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70928">
      <w:bodyDiv w:val="1"/>
      <w:marLeft w:val="0"/>
      <w:marRight w:val="0"/>
      <w:marTop w:val="0"/>
      <w:marBottom w:val="0"/>
      <w:divBdr>
        <w:top w:val="none" w:sz="0" w:space="0" w:color="auto"/>
        <w:left w:val="none" w:sz="0" w:space="0" w:color="auto"/>
        <w:bottom w:val="none" w:sz="0" w:space="0" w:color="auto"/>
        <w:right w:val="none" w:sz="0" w:space="0" w:color="auto"/>
      </w:divBdr>
    </w:div>
    <w:div w:id="984044124">
      <w:bodyDiv w:val="1"/>
      <w:marLeft w:val="0"/>
      <w:marRight w:val="0"/>
      <w:marTop w:val="0"/>
      <w:marBottom w:val="0"/>
      <w:divBdr>
        <w:top w:val="none" w:sz="0" w:space="0" w:color="auto"/>
        <w:left w:val="none" w:sz="0" w:space="0" w:color="auto"/>
        <w:bottom w:val="none" w:sz="0" w:space="0" w:color="auto"/>
        <w:right w:val="none" w:sz="0" w:space="0" w:color="auto"/>
      </w:divBdr>
      <w:divsChild>
        <w:div w:id="974914619">
          <w:marLeft w:val="1166"/>
          <w:marRight w:val="0"/>
          <w:marTop w:val="82"/>
          <w:marBottom w:val="0"/>
          <w:divBdr>
            <w:top w:val="none" w:sz="0" w:space="0" w:color="auto"/>
            <w:left w:val="none" w:sz="0" w:space="0" w:color="auto"/>
            <w:bottom w:val="none" w:sz="0" w:space="0" w:color="auto"/>
            <w:right w:val="none" w:sz="0" w:space="0" w:color="auto"/>
          </w:divBdr>
        </w:div>
        <w:div w:id="1213006967">
          <w:marLeft w:val="1166"/>
          <w:marRight w:val="0"/>
          <w:marTop w:val="82"/>
          <w:marBottom w:val="0"/>
          <w:divBdr>
            <w:top w:val="none" w:sz="0" w:space="0" w:color="auto"/>
            <w:left w:val="none" w:sz="0" w:space="0" w:color="auto"/>
            <w:bottom w:val="none" w:sz="0" w:space="0" w:color="auto"/>
            <w:right w:val="none" w:sz="0" w:space="0" w:color="auto"/>
          </w:divBdr>
        </w:div>
        <w:div w:id="1696345644">
          <w:marLeft w:val="1166"/>
          <w:marRight w:val="0"/>
          <w:marTop w:val="82"/>
          <w:marBottom w:val="0"/>
          <w:divBdr>
            <w:top w:val="none" w:sz="0" w:space="0" w:color="auto"/>
            <w:left w:val="none" w:sz="0" w:space="0" w:color="auto"/>
            <w:bottom w:val="none" w:sz="0" w:space="0" w:color="auto"/>
            <w:right w:val="none" w:sz="0" w:space="0" w:color="auto"/>
          </w:divBdr>
        </w:div>
        <w:div w:id="1792091511">
          <w:marLeft w:val="1886"/>
          <w:marRight w:val="0"/>
          <w:marTop w:val="82"/>
          <w:marBottom w:val="0"/>
          <w:divBdr>
            <w:top w:val="none" w:sz="0" w:space="0" w:color="auto"/>
            <w:left w:val="none" w:sz="0" w:space="0" w:color="auto"/>
            <w:bottom w:val="none" w:sz="0" w:space="0" w:color="auto"/>
            <w:right w:val="none" w:sz="0" w:space="0" w:color="auto"/>
          </w:divBdr>
        </w:div>
        <w:div w:id="1214075815">
          <w:marLeft w:val="1886"/>
          <w:marRight w:val="0"/>
          <w:marTop w:val="82"/>
          <w:marBottom w:val="0"/>
          <w:divBdr>
            <w:top w:val="none" w:sz="0" w:space="0" w:color="auto"/>
            <w:left w:val="none" w:sz="0" w:space="0" w:color="auto"/>
            <w:bottom w:val="none" w:sz="0" w:space="0" w:color="auto"/>
            <w:right w:val="none" w:sz="0" w:space="0" w:color="auto"/>
          </w:divBdr>
        </w:div>
        <w:div w:id="531722243">
          <w:marLeft w:val="1886"/>
          <w:marRight w:val="0"/>
          <w:marTop w:val="120"/>
          <w:marBottom w:val="240"/>
          <w:divBdr>
            <w:top w:val="none" w:sz="0" w:space="0" w:color="auto"/>
            <w:left w:val="none" w:sz="0" w:space="0" w:color="auto"/>
            <w:bottom w:val="none" w:sz="0" w:space="0" w:color="auto"/>
            <w:right w:val="none" w:sz="0" w:space="0" w:color="auto"/>
          </w:divBdr>
        </w:div>
      </w:divsChild>
    </w:div>
    <w:div w:id="1071998783">
      <w:bodyDiv w:val="1"/>
      <w:marLeft w:val="0"/>
      <w:marRight w:val="0"/>
      <w:marTop w:val="0"/>
      <w:marBottom w:val="0"/>
      <w:divBdr>
        <w:top w:val="none" w:sz="0" w:space="0" w:color="auto"/>
        <w:left w:val="none" w:sz="0" w:space="0" w:color="auto"/>
        <w:bottom w:val="none" w:sz="0" w:space="0" w:color="auto"/>
        <w:right w:val="none" w:sz="0" w:space="0" w:color="auto"/>
      </w:divBdr>
    </w:div>
    <w:div w:id="1130126089">
      <w:bodyDiv w:val="1"/>
      <w:marLeft w:val="0"/>
      <w:marRight w:val="0"/>
      <w:marTop w:val="0"/>
      <w:marBottom w:val="0"/>
      <w:divBdr>
        <w:top w:val="none" w:sz="0" w:space="0" w:color="auto"/>
        <w:left w:val="none" w:sz="0" w:space="0" w:color="auto"/>
        <w:bottom w:val="none" w:sz="0" w:space="0" w:color="auto"/>
        <w:right w:val="none" w:sz="0" w:space="0" w:color="auto"/>
      </w:divBdr>
    </w:div>
    <w:div w:id="1629973404">
      <w:bodyDiv w:val="1"/>
      <w:marLeft w:val="0"/>
      <w:marRight w:val="0"/>
      <w:marTop w:val="0"/>
      <w:marBottom w:val="0"/>
      <w:divBdr>
        <w:top w:val="none" w:sz="0" w:space="0" w:color="auto"/>
        <w:left w:val="none" w:sz="0" w:space="0" w:color="auto"/>
        <w:bottom w:val="none" w:sz="0" w:space="0" w:color="auto"/>
        <w:right w:val="none" w:sz="0" w:space="0" w:color="auto"/>
      </w:divBdr>
    </w:div>
    <w:div w:id="17646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a.eu/downloads/publications/digi-he%20desk%20research%20repor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2D967-8779-4A25-B5BB-DA6CC0B0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Pages>
  <Words>16203</Words>
  <Characters>9236</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Tokareva</dc:creator>
  <cp:keywords/>
  <dc:description/>
  <cp:lastModifiedBy>Tatjana Tokareva</cp:lastModifiedBy>
  <cp:revision>24</cp:revision>
  <dcterms:created xsi:type="dcterms:W3CDTF">2022-02-14T09:02:00Z</dcterms:created>
  <dcterms:modified xsi:type="dcterms:W3CDTF">2022-04-12T11:53:00Z</dcterms:modified>
</cp:coreProperties>
</file>