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194" w:rsidRDefault="00156194" w:rsidP="00156194">
      <w:pPr>
        <w:rPr>
          <w:rFonts w:ascii="Times New Roman" w:hAnsi="Times New Roman"/>
          <w:b/>
          <w:sz w:val="24"/>
          <w:szCs w:val="24"/>
          <w:u w:val="single"/>
        </w:rPr>
      </w:pPr>
      <w:r w:rsidRPr="00C04EC1">
        <w:rPr>
          <w:rFonts w:ascii="Times New Roman" w:hAnsi="Times New Roman"/>
          <w:b/>
          <w:sz w:val="24"/>
          <w:szCs w:val="24"/>
          <w:u w:val="single"/>
        </w:rPr>
        <w:t>Projekta iesnieguma sagatavošanas, iesniegšanas un vērtēšanas jautājumi</w:t>
      </w:r>
    </w:p>
    <w:p w:rsidR="00156194" w:rsidRDefault="00156194" w:rsidP="00156194"/>
    <w:p w:rsidR="00156194" w:rsidRPr="00156194" w:rsidRDefault="00156194" w:rsidP="00156194">
      <w:pPr>
        <w:pStyle w:val="ListParagraph"/>
        <w:rPr>
          <w:rFonts w:ascii="Times New Roman" w:hAnsi="Times New Roman"/>
        </w:rPr>
      </w:pPr>
    </w:p>
    <w:p w:rsidR="002A7C7E" w:rsidRDefault="002A7C7E"/>
    <w:p w:rsidR="002A7C7E" w:rsidRPr="00876332" w:rsidRDefault="002A7C7E" w:rsidP="002A7C7E">
      <w:pPr>
        <w:pStyle w:val="ListParagraph"/>
        <w:numPr>
          <w:ilvl w:val="0"/>
          <w:numId w:val="2"/>
        </w:numPr>
        <w:rPr>
          <w:rFonts w:asciiTheme="minorHAnsi" w:hAnsiTheme="minorHAnsi"/>
        </w:rPr>
      </w:pPr>
      <w:r w:rsidRPr="00876332">
        <w:rPr>
          <w:rFonts w:asciiTheme="minorHAnsi" w:hAnsiTheme="minorHAnsi"/>
        </w:rPr>
        <w:t>Vai Kompetences centra vadītājs var būt algots darbinieks - direktors? T.i. vai KC vadītājs var nebūt valdes loceklis?</w:t>
      </w:r>
    </w:p>
    <w:p w:rsidR="002A7C7E" w:rsidRPr="00876332" w:rsidRDefault="002A7C7E" w:rsidP="00876332">
      <w:pPr>
        <w:rPr>
          <w:rFonts w:asciiTheme="minorHAnsi" w:hAnsiTheme="minorHAnsi" w:cs="Tahoma"/>
        </w:rPr>
      </w:pPr>
      <w:r w:rsidRPr="00876332">
        <w:rPr>
          <w:rFonts w:asciiTheme="minorHAnsi" w:hAnsiTheme="minorHAnsi" w:cs="Tahoma"/>
          <w:b/>
        </w:rPr>
        <w:t>Atbilde:</w:t>
      </w:r>
      <w:r w:rsidRPr="00876332">
        <w:rPr>
          <w:rFonts w:asciiTheme="minorHAnsi" w:hAnsiTheme="minorHAnsi" w:cs="Tahoma"/>
        </w:rPr>
        <w:t xml:space="preserve"> Jā, kompetences centra vadītājs var būt algots darbinieks.</w:t>
      </w:r>
    </w:p>
    <w:p w:rsidR="00876332" w:rsidRPr="00876332" w:rsidRDefault="00876332" w:rsidP="00876332">
      <w:pPr>
        <w:rPr>
          <w:rFonts w:asciiTheme="minorHAnsi" w:hAnsiTheme="minorHAnsi"/>
        </w:rPr>
      </w:pPr>
    </w:p>
    <w:p w:rsidR="0076209B" w:rsidRPr="00876332" w:rsidRDefault="002A7C7E" w:rsidP="00876332">
      <w:pPr>
        <w:pStyle w:val="ListParagraph"/>
        <w:numPr>
          <w:ilvl w:val="0"/>
          <w:numId w:val="2"/>
        </w:numPr>
        <w:rPr>
          <w:rFonts w:asciiTheme="minorHAnsi" w:hAnsiTheme="minorHAnsi"/>
        </w:rPr>
      </w:pPr>
      <w:r w:rsidRPr="00876332">
        <w:rPr>
          <w:rFonts w:asciiTheme="minorHAnsi" w:hAnsiTheme="minorHAnsi"/>
        </w:rPr>
        <w:t>Attiecībā uz revidenta atzinumu par ieņēm</w:t>
      </w:r>
      <w:r w:rsidR="00C24917" w:rsidRPr="00876332">
        <w:rPr>
          <w:rFonts w:asciiTheme="minorHAnsi" w:hAnsiTheme="minorHAnsi"/>
        </w:rPr>
        <w:t>um</w:t>
      </w:r>
      <w:r w:rsidRPr="00876332">
        <w:rPr>
          <w:rFonts w:asciiTheme="minorHAnsi" w:hAnsiTheme="minorHAnsi"/>
        </w:rPr>
        <w:t>iem no jauniem produktiem. Kā tiek vērtēts centrs kopumā, ja vienam sadarbības partnerim nav revidenta atzinums, ? </w:t>
      </w:r>
    </w:p>
    <w:p w:rsidR="0076209B" w:rsidRPr="00876332" w:rsidRDefault="0076209B" w:rsidP="00C24917">
      <w:pPr>
        <w:pStyle w:val="ListParagraph"/>
        <w:rPr>
          <w:rFonts w:asciiTheme="minorHAnsi" w:hAnsiTheme="minorHAnsi"/>
        </w:rPr>
      </w:pPr>
    </w:p>
    <w:p w:rsidR="0076209B" w:rsidRDefault="0076209B" w:rsidP="0076209B">
      <w:pPr>
        <w:pStyle w:val="ListParagraph"/>
        <w:ind w:left="0"/>
        <w:rPr>
          <w:rFonts w:asciiTheme="minorHAnsi" w:hAnsiTheme="minorHAnsi"/>
        </w:rPr>
      </w:pPr>
      <w:r w:rsidRPr="00876332">
        <w:rPr>
          <w:rFonts w:asciiTheme="minorHAnsi" w:hAnsiTheme="minorHAnsi"/>
          <w:b/>
        </w:rPr>
        <w:t>Atbilde:</w:t>
      </w:r>
      <w:r w:rsidRPr="00876332">
        <w:rPr>
          <w:rFonts w:asciiTheme="minorHAnsi" w:hAnsiTheme="minorHAnsi"/>
        </w:rPr>
        <w:t xml:space="preserve"> Ja nav revidenta atzinums, tad tiek pieņemts, ka konkrētajam sadarbības partnerim nav nekāds eksporta apjoms no jauniem radītiem produktiem, jo kopējā apgrozījumā, pret kuru tiek rēķināts minētais eksporta apjoms, tiek ieskaitīts arī sadarbības partneris, kuram nav revidenta atzinums.</w:t>
      </w:r>
    </w:p>
    <w:p w:rsidR="001427B5" w:rsidRPr="00876332" w:rsidRDefault="001427B5" w:rsidP="0076209B">
      <w:pPr>
        <w:pStyle w:val="ListParagraph"/>
        <w:ind w:left="0"/>
        <w:rPr>
          <w:rFonts w:asciiTheme="minorHAnsi" w:hAnsiTheme="minorHAnsi"/>
        </w:rPr>
      </w:pPr>
    </w:p>
    <w:p w:rsidR="0076209B" w:rsidRPr="00876332" w:rsidRDefault="00876332" w:rsidP="00876332">
      <w:pPr>
        <w:pStyle w:val="ListParagraph"/>
        <w:numPr>
          <w:ilvl w:val="0"/>
          <w:numId w:val="2"/>
        </w:numPr>
        <w:rPr>
          <w:rFonts w:asciiTheme="minorHAnsi" w:hAnsiTheme="minorHAnsi"/>
        </w:rPr>
      </w:pPr>
      <w:r w:rsidRPr="00876332">
        <w:rPr>
          <w:rFonts w:asciiTheme="minorHAnsi" w:hAnsiTheme="minorHAnsi"/>
        </w:rPr>
        <w:t>Vai šī punkta izpratnē tiek vērtēti arī tie KC dalībnieki, kuriem uz pieteikuma brīdi nav identificēts projekts? </w:t>
      </w:r>
    </w:p>
    <w:p w:rsidR="0076209B" w:rsidRPr="00876332" w:rsidRDefault="0076209B" w:rsidP="00C24917">
      <w:pPr>
        <w:pStyle w:val="ListParagraph"/>
        <w:rPr>
          <w:rFonts w:asciiTheme="minorHAnsi" w:hAnsiTheme="minorHAnsi"/>
        </w:rPr>
      </w:pPr>
    </w:p>
    <w:p w:rsidR="0076209B" w:rsidRPr="00876332" w:rsidRDefault="0076209B" w:rsidP="0076209B">
      <w:pPr>
        <w:pStyle w:val="ListParagraph"/>
        <w:ind w:left="0"/>
        <w:rPr>
          <w:rFonts w:asciiTheme="minorHAnsi" w:hAnsiTheme="minorHAnsi"/>
        </w:rPr>
      </w:pPr>
      <w:r w:rsidRPr="00876332">
        <w:rPr>
          <w:rFonts w:asciiTheme="minorHAnsi" w:hAnsiTheme="minorHAnsi"/>
          <w:b/>
        </w:rPr>
        <w:t>Atbilde:</w:t>
      </w:r>
      <w:r w:rsidRPr="00876332">
        <w:rPr>
          <w:rFonts w:asciiTheme="minorHAnsi" w:hAnsiTheme="minorHAnsi"/>
        </w:rPr>
        <w:t xml:space="preserve"> Jā, 4.5.kvalitātes kritērija vērtēšanā tiek ieskaitīti KC dibinātāji (arī tad, ja nav konkrēts pētījums) un sadarbības partneri, kuriem ir konkrēti pētījumi.</w:t>
      </w:r>
    </w:p>
    <w:p w:rsidR="00876332" w:rsidRPr="00876332" w:rsidRDefault="00876332" w:rsidP="0076209B">
      <w:pPr>
        <w:pStyle w:val="ListParagraph"/>
        <w:ind w:left="0"/>
        <w:rPr>
          <w:rFonts w:asciiTheme="minorHAnsi" w:hAnsiTheme="minorHAnsi"/>
        </w:rPr>
      </w:pPr>
    </w:p>
    <w:p w:rsidR="0076209B" w:rsidRPr="00876332" w:rsidRDefault="002A7C7E" w:rsidP="00876332">
      <w:pPr>
        <w:pStyle w:val="ListParagraph"/>
        <w:numPr>
          <w:ilvl w:val="0"/>
          <w:numId w:val="2"/>
        </w:numPr>
        <w:rPr>
          <w:rFonts w:asciiTheme="minorHAnsi" w:hAnsiTheme="minorHAnsi"/>
        </w:rPr>
      </w:pPr>
      <w:r w:rsidRPr="00876332">
        <w:rPr>
          <w:rFonts w:asciiTheme="minorHAnsi" w:hAnsiTheme="minorHAnsi"/>
        </w:rPr>
        <w:t>Ko attiecībā uz revidenta atzinumu definē kā jaunu produktu? </w:t>
      </w:r>
    </w:p>
    <w:p w:rsidR="0076209B" w:rsidRPr="00876332" w:rsidRDefault="0076209B" w:rsidP="00C24917">
      <w:pPr>
        <w:pStyle w:val="ListParagraph"/>
        <w:rPr>
          <w:rFonts w:asciiTheme="minorHAnsi" w:hAnsiTheme="minorHAnsi"/>
        </w:rPr>
      </w:pPr>
    </w:p>
    <w:p w:rsidR="00B0365F" w:rsidRPr="00876332" w:rsidRDefault="0076209B" w:rsidP="00B0365F">
      <w:pPr>
        <w:rPr>
          <w:rFonts w:asciiTheme="minorHAnsi" w:hAnsiTheme="minorHAnsi"/>
        </w:rPr>
      </w:pPr>
      <w:r w:rsidRPr="00876332">
        <w:rPr>
          <w:rFonts w:asciiTheme="minorHAnsi" w:hAnsiTheme="minorHAnsi"/>
          <w:b/>
        </w:rPr>
        <w:t>Atbilde:</w:t>
      </w:r>
      <w:r w:rsidRPr="00876332">
        <w:rPr>
          <w:rFonts w:asciiTheme="minorHAnsi" w:hAnsiTheme="minorHAnsi"/>
        </w:rPr>
        <w:t xml:space="preserve"> </w:t>
      </w:r>
      <w:r w:rsidR="00B0365F" w:rsidRPr="00876332">
        <w:rPr>
          <w:rFonts w:asciiTheme="minorHAnsi" w:hAnsiTheme="minorHAnsi"/>
        </w:rPr>
        <w:t xml:space="preserve">Jauna produkta definīcija atbilst tai, kuru lieto Centrālā statistikas pārvalde (Pārskats par inovācijām uzņēmējdarbībā – atrodams </w:t>
      </w:r>
      <w:hyperlink r:id="rId5" w:history="1">
        <w:r w:rsidR="00B0365F" w:rsidRPr="00876332">
          <w:rPr>
            <w:rStyle w:val="Hyperlink"/>
            <w:rFonts w:asciiTheme="minorHAnsi" w:hAnsiTheme="minorHAnsi"/>
            <w:color w:val="auto"/>
          </w:rPr>
          <w:t>http://www.csb.gov.lv/veidlapas/2015/2-inovacijas</w:t>
        </w:r>
      </w:hyperlink>
      <w:r w:rsidR="00B0365F" w:rsidRPr="00876332">
        <w:rPr>
          <w:rFonts w:asciiTheme="minorHAnsi" w:hAnsiTheme="minorHAnsi"/>
        </w:rPr>
        <w:t xml:space="preserve"> ). Citiem vārdiem sakot – revidenta atzinumā ir jānorāda eksporta apjoms no tiem jaunajiem produktiem, par kuriem komersants jau ir sniedzis statistikas pārskatus Centrālai statistikas pārvaldei. </w:t>
      </w:r>
    </w:p>
    <w:p w:rsidR="0076209B" w:rsidRPr="00876332" w:rsidRDefault="0076209B" w:rsidP="00C24917">
      <w:pPr>
        <w:pStyle w:val="ListParagraph"/>
        <w:rPr>
          <w:rFonts w:asciiTheme="minorHAnsi" w:hAnsiTheme="minorHAnsi"/>
        </w:rPr>
      </w:pPr>
    </w:p>
    <w:p w:rsidR="002A7C7E" w:rsidRPr="00876332" w:rsidRDefault="002A7C7E" w:rsidP="00876332">
      <w:pPr>
        <w:pStyle w:val="ListParagraph"/>
        <w:numPr>
          <w:ilvl w:val="0"/>
          <w:numId w:val="2"/>
        </w:numPr>
        <w:rPr>
          <w:rFonts w:asciiTheme="minorHAnsi" w:hAnsiTheme="minorHAnsi" w:cs="Tahoma"/>
        </w:rPr>
      </w:pPr>
      <w:r w:rsidRPr="00876332">
        <w:rPr>
          <w:rFonts w:asciiTheme="minorHAnsi" w:hAnsiTheme="minorHAnsi"/>
        </w:rPr>
        <w:t>Vai KC  dalībniekos var būt sadarbības partneris, kurš pats neatbilst grūtībās nonākuša komersanta statusam attiecībā pret ES regulu, bet kura mātes uzņēmums atbilst šādam statusam?</w:t>
      </w:r>
    </w:p>
    <w:p w:rsidR="00876332" w:rsidRPr="00876332" w:rsidRDefault="00876332" w:rsidP="00876332">
      <w:pPr>
        <w:pStyle w:val="ListParagraph"/>
        <w:rPr>
          <w:rFonts w:asciiTheme="minorHAnsi" w:hAnsiTheme="minorHAnsi" w:cs="Tahoma"/>
        </w:rPr>
      </w:pPr>
    </w:p>
    <w:p w:rsidR="00001F1C" w:rsidRPr="00876332" w:rsidRDefault="00001F1C" w:rsidP="00876332">
      <w:pPr>
        <w:rPr>
          <w:rFonts w:asciiTheme="minorHAnsi" w:hAnsiTheme="minorHAnsi" w:cs="Tahoma"/>
        </w:rPr>
      </w:pPr>
      <w:r w:rsidRPr="00876332">
        <w:rPr>
          <w:rFonts w:asciiTheme="minorHAnsi" w:hAnsiTheme="minorHAnsi"/>
          <w:b/>
        </w:rPr>
        <w:t>Atbilde:</w:t>
      </w:r>
      <w:r w:rsidRPr="00876332">
        <w:rPr>
          <w:rFonts w:asciiTheme="minorHAnsi" w:hAnsiTheme="minorHAnsi"/>
        </w:rPr>
        <w:t xml:space="preserve"> Ja kompetences centra dalībniekos tiek iesaistīts sadarbības partneris, kura mātes uzņēmums atbilst grūtībās nonākuša komersanta statusam un kurš Regulas Nr.651/2014 1.pielikuma 3.panta 3.apakšpunkta izpratnē ir “saistītie uzņēmumi”, tad šādam uzņēmuma nevar tik piešķirts valsts atbalsts saskaņā ar normatīvajiem aktiem un attiecīgi saņemt ES finansējumu.</w:t>
      </w:r>
    </w:p>
    <w:p w:rsidR="002A7C7E" w:rsidRDefault="002A7C7E" w:rsidP="002A7C7E">
      <w:pPr>
        <w:rPr>
          <w:rFonts w:ascii="Tahoma" w:hAnsi="Tahoma" w:cs="Tahoma"/>
        </w:rPr>
      </w:pPr>
    </w:p>
    <w:p w:rsidR="001427B5" w:rsidRDefault="001427B5">
      <w:pPr>
        <w:spacing w:after="160" w:line="259" w:lineRule="auto"/>
        <w:rPr>
          <w:rFonts w:asciiTheme="minorHAnsi" w:hAnsiTheme="minorHAnsi"/>
          <w:b/>
          <w:u w:val="single"/>
        </w:rPr>
      </w:pPr>
      <w:r>
        <w:rPr>
          <w:rFonts w:asciiTheme="minorHAnsi" w:hAnsiTheme="minorHAnsi"/>
          <w:b/>
          <w:u w:val="single"/>
        </w:rPr>
        <w:br w:type="page"/>
      </w:r>
    </w:p>
    <w:p w:rsidR="002A7C7E" w:rsidRDefault="00876332" w:rsidP="00876332">
      <w:pPr>
        <w:jc w:val="center"/>
        <w:rPr>
          <w:rFonts w:ascii="Arial" w:hAnsi="Arial" w:cs="Arial"/>
          <w:sz w:val="18"/>
          <w:szCs w:val="18"/>
        </w:rPr>
      </w:pPr>
      <w:bookmarkStart w:id="0" w:name="_GoBack"/>
      <w:bookmarkEnd w:id="0"/>
      <w:r w:rsidRPr="00AC1E14">
        <w:rPr>
          <w:rFonts w:asciiTheme="minorHAnsi" w:hAnsiTheme="minorHAnsi"/>
          <w:b/>
          <w:u w:val="single"/>
        </w:rPr>
        <w:lastRenderedPageBreak/>
        <w:t>Projektu</w:t>
      </w:r>
      <w:r w:rsidRPr="00C04EC1">
        <w:rPr>
          <w:rFonts w:ascii="Times New Roman" w:hAnsi="Times New Roman"/>
          <w:b/>
          <w:sz w:val="24"/>
          <w:szCs w:val="24"/>
          <w:u w:val="single"/>
        </w:rPr>
        <w:t xml:space="preserve"> īstenošanas (izmaksu </w:t>
      </w:r>
      <w:proofErr w:type="spellStart"/>
      <w:r w:rsidRPr="00C04EC1">
        <w:rPr>
          <w:rFonts w:ascii="Times New Roman" w:hAnsi="Times New Roman"/>
          <w:b/>
          <w:sz w:val="24"/>
          <w:szCs w:val="24"/>
          <w:u w:val="single"/>
        </w:rPr>
        <w:t>attiecināmības</w:t>
      </w:r>
      <w:proofErr w:type="spellEnd"/>
      <w:r w:rsidRPr="00C04EC1">
        <w:rPr>
          <w:rFonts w:ascii="Times New Roman" w:hAnsi="Times New Roman"/>
          <w:b/>
          <w:sz w:val="24"/>
          <w:szCs w:val="24"/>
          <w:u w:val="single"/>
        </w:rPr>
        <w:t>) jautājumi</w:t>
      </w:r>
    </w:p>
    <w:p w:rsidR="002A7C7E" w:rsidRDefault="002A7C7E">
      <w:pPr>
        <w:rPr>
          <w:rFonts w:ascii="Arial" w:hAnsi="Arial" w:cs="Arial"/>
          <w:sz w:val="18"/>
          <w:szCs w:val="18"/>
        </w:rPr>
      </w:pPr>
    </w:p>
    <w:p w:rsidR="002A7C7E" w:rsidRPr="00876332" w:rsidRDefault="002A7C7E" w:rsidP="00876332">
      <w:pPr>
        <w:pStyle w:val="ListParagraph"/>
        <w:numPr>
          <w:ilvl w:val="0"/>
          <w:numId w:val="2"/>
        </w:numPr>
        <w:jc w:val="both"/>
        <w:rPr>
          <w:rFonts w:asciiTheme="minorHAnsi" w:hAnsiTheme="minorHAnsi" w:cs="Arial"/>
        </w:rPr>
      </w:pPr>
      <w:r w:rsidRPr="00876332">
        <w:rPr>
          <w:rFonts w:asciiTheme="minorHAnsi" w:hAnsiTheme="minorHAnsi" w:cs="Arial"/>
        </w:rPr>
        <w:t>Jautājums par Ministru kabineta noteikumi Nr. 2 par Atbalsts jaunu produktu</w:t>
      </w:r>
      <w:r w:rsidRPr="00876332">
        <w:rPr>
          <w:rFonts w:asciiTheme="minorHAnsi" w:hAnsiTheme="minorHAnsi" w:cs="Arial"/>
        </w:rPr>
        <w:br/>
        <w:t>un tehnoloģiju izstrādei kompetences centru ietvaros. 45. punktu: Projekta īstenošanas laikā otrās un ceturtās kārtas ietvaros finansējuma saņēmējs var saņemt ātrāku maksājumu (bez bankas garantijas) līdz 75 % no sadarbības iestādē iesniegtā maksājuma pieprasījuma, pirms sadarbības iestāde ir pabeigusi attiecīgā maksājuma pieprasījuma izvērtēšanu. Ātrāka maksājuma apjomu sadarbības iestāde nosaka, izvērtējot risku, tai skaitā ņemot vērā statistiku par to, kāda daļa no finansējuma saņēmēja iepriekš iesniegtajiem maksājuma pieprasījumiem pēc sadarbības iestādes veiktajām pārbaudēm tika atzīta par atbilstošu un attiecīgi veikta izmaksa.</w:t>
      </w:r>
      <w:r w:rsidRPr="00876332">
        <w:rPr>
          <w:rFonts w:asciiTheme="minorHAnsi" w:hAnsiTheme="minorHAnsi" w:cs="Arial"/>
        </w:rPr>
        <w:br/>
      </w:r>
      <w:r w:rsidRPr="00876332">
        <w:rPr>
          <w:rFonts w:asciiTheme="minorHAnsi" w:hAnsiTheme="minorHAnsi" w:cs="Arial"/>
        </w:rPr>
        <w:br/>
        <w:t>Cik ātri ir “ātrākais maksājums”? Kā ir ar 1. SP jaunam Komp. centram?</w:t>
      </w:r>
    </w:p>
    <w:p w:rsidR="00D901E3" w:rsidRPr="00876332" w:rsidRDefault="00D901E3">
      <w:pPr>
        <w:rPr>
          <w:rFonts w:asciiTheme="minorHAnsi" w:hAnsiTheme="minorHAnsi" w:cs="Arial"/>
        </w:rPr>
      </w:pPr>
    </w:p>
    <w:p w:rsidR="00D901E3" w:rsidRDefault="00FA20FA" w:rsidP="00876332">
      <w:r w:rsidRPr="00876332">
        <w:rPr>
          <w:b/>
        </w:rPr>
        <w:t>Atbilde:</w:t>
      </w:r>
      <w:r>
        <w:t xml:space="preserve"> </w:t>
      </w:r>
      <w:r w:rsidR="00D901E3">
        <w:t xml:space="preserve">“Ātrākais” maksājums tiek izskatīts iesniegtā starpposma maksājuma pieprasījuma ietvaros pirms </w:t>
      </w:r>
      <w:r w:rsidR="000B6879">
        <w:t>tā</w:t>
      </w:r>
      <w:r w:rsidR="00D901E3">
        <w:t xml:space="preserve"> apstiprināšanas</w:t>
      </w:r>
      <w:r w:rsidR="000B6879" w:rsidRPr="000B6879">
        <w:t xml:space="preserve"> </w:t>
      </w:r>
      <w:r w:rsidR="000B6879">
        <w:t>īsākā termiņā</w:t>
      </w:r>
      <w:r w:rsidR="00D901E3">
        <w:t>, tas ir, 10 darba dienu laikā.</w:t>
      </w:r>
      <w:r>
        <w:t xml:space="preserve"> Starpposma maksājuma pieprasījuma pamatojošo dokumentu izskatīšana, kurus finansējuma saņēmējs iesniedz pēc CFLA pieprasījuma 3 darba dienu laikā, turpinās pēc “ātrākā” maksājuma veikšanas.</w:t>
      </w:r>
    </w:p>
    <w:p w:rsidR="00D901E3" w:rsidRDefault="00FA20FA" w:rsidP="00876332">
      <w:r>
        <w:t>Starpposma maksājumu pieprasījums, t.sk., 1 starpposma maksājumu pieprasījums</w:t>
      </w:r>
      <w:r w:rsidR="00D901E3">
        <w:t xml:space="preserve"> tiek izskatīts 20 darba dienu laikā. </w:t>
      </w:r>
    </w:p>
    <w:p w:rsidR="00876332" w:rsidRDefault="00876332" w:rsidP="00D901E3">
      <w:pPr>
        <w:pStyle w:val="ListParagraph"/>
      </w:pPr>
    </w:p>
    <w:p w:rsidR="00876332" w:rsidRPr="00876332" w:rsidRDefault="00876332" w:rsidP="00876332">
      <w:pPr>
        <w:pStyle w:val="ListParagraph"/>
        <w:numPr>
          <w:ilvl w:val="0"/>
          <w:numId w:val="2"/>
        </w:numPr>
        <w:rPr>
          <w:rFonts w:ascii="Times New Roman" w:hAnsi="Times New Roman"/>
        </w:rPr>
      </w:pPr>
      <w:r>
        <w:t>Kā ir situācijā, ja uzņēmuma dalībnieks ir riska kapitāla fonds? - iepriekšējā programmā intensitātes tika samazinātas par 20%, bet šajā periodā MK noteikumos nekas par to nav atrunāts.</w:t>
      </w:r>
    </w:p>
    <w:p w:rsidR="00876332" w:rsidRDefault="00876332" w:rsidP="00876332"/>
    <w:p w:rsidR="00876332" w:rsidRDefault="00876332" w:rsidP="00876332">
      <w:r w:rsidRPr="00876332">
        <w:rPr>
          <w:b/>
        </w:rPr>
        <w:t>Atbilde:</w:t>
      </w:r>
      <w:r>
        <w:t xml:space="preserve"> MK Nr.2 83.pants nosaka, ka atbalstu var apvienot ar atbalstu, kas sniegts saskaņā ar Komisijas regulas Nr.651/2014 21.pantu un kura izmaksas nav nosakāmas, t.sk., riska kapitāla fonu. Riska kapitāla fonda gadījumā tiks rēķināts subsīdijas ekvivalents, ņemot vērā normatīvos aktus, kas regulē konkrēto fondu un MK Nr.2 noteikumus, ievērojot , ka netiek pārsniegta pieļaujamā kopējā finansējuma summa un/vai MK Nr.2 noteiktā finansējuma intensitāte.</w:t>
      </w:r>
    </w:p>
    <w:p w:rsidR="00876332" w:rsidRDefault="00876332" w:rsidP="00D901E3">
      <w:pPr>
        <w:pStyle w:val="ListParagraph"/>
      </w:pPr>
    </w:p>
    <w:sectPr w:rsidR="008763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72040"/>
    <w:multiLevelType w:val="hybridMultilevel"/>
    <w:tmpl w:val="3CFCD864"/>
    <w:lvl w:ilvl="0" w:tplc="B5D8948C">
      <w:start w:val="1"/>
      <w:numFmt w:val="decimal"/>
      <w:lvlText w:val="%1."/>
      <w:lvlJc w:val="left"/>
      <w:pPr>
        <w:ind w:left="720" w:hanging="360"/>
      </w:pPr>
      <w:rPr>
        <w:rFonts w:ascii="Arial" w:hAnsi="Arial" w:cs="Arial" w:hint="default"/>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08759D"/>
    <w:multiLevelType w:val="hybridMultilevel"/>
    <w:tmpl w:val="89447C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76050D5"/>
    <w:multiLevelType w:val="hybridMultilevel"/>
    <w:tmpl w:val="FF24C984"/>
    <w:lvl w:ilvl="0" w:tplc="6300701A">
      <w:start w:val="1"/>
      <w:numFmt w:val="decimal"/>
      <w:lvlText w:val="%1)"/>
      <w:lvlJc w:val="left"/>
      <w:pPr>
        <w:ind w:left="720" w:hanging="360"/>
      </w:pPr>
      <w:rPr>
        <w:rFonts w:ascii="Calibri" w:hAnsi="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94"/>
    <w:rsid w:val="00001F1C"/>
    <w:rsid w:val="000B6879"/>
    <w:rsid w:val="001427B5"/>
    <w:rsid w:val="00156194"/>
    <w:rsid w:val="00237147"/>
    <w:rsid w:val="002A7C7E"/>
    <w:rsid w:val="00433800"/>
    <w:rsid w:val="0076209B"/>
    <w:rsid w:val="00873DF0"/>
    <w:rsid w:val="00876332"/>
    <w:rsid w:val="00AF72AB"/>
    <w:rsid w:val="00B0365F"/>
    <w:rsid w:val="00BC1F19"/>
    <w:rsid w:val="00C24917"/>
    <w:rsid w:val="00D901E3"/>
    <w:rsid w:val="00EC71CF"/>
    <w:rsid w:val="00FA20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2BD74-FF1F-47A4-8F81-B8D2DDF9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19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194"/>
    <w:pPr>
      <w:ind w:left="720"/>
      <w:contextualSpacing/>
    </w:pPr>
  </w:style>
  <w:style w:type="character" w:styleId="Hyperlink">
    <w:name w:val="Hyperlink"/>
    <w:basedOn w:val="DefaultParagraphFont"/>
    <w:uiPriority w:val="99"/>
    <w:semiHidden/>
    <w:unhideWhenUsed/>
    <w:rsid w:val="00B036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841939">
      <w:bodyDiv w:val="1"/>
      <w:marLeft w:val="0"/>
      <w:marRight w:val="0"/>
      <w:marTop w:val="0"/>
      <w:marBottom w:val="0"/>
      <w:divBdr>
        <w:top w:val="none" w:sz="0" w:space="0" w:color="auto"/>
        <w:left w:val="none" w:sz="0" w:space="0" w:color="auto"/>
        <w:bottom w:val="none" w:sz="0" w:space="0" w:color="auto"/>
        <w:right w:val="none" w:sz="0" w:space="0" w:color="auto"/>
      </w:divBdr>
    </w:div>
    <w:div w:id="969820601">
      <w:bodyDiv w:val="1"/>
      <w:marLeft w:val="0"/>
      <w:marRight w:val="0"/>
      <w:marTop w:val="0"/>
      <w:marBottom w:val="0"/>
      <w:divBdr>
        <w:top w:val="none" w:sz="0" w:space="0" w:color="auto"/>
        <w:left w:val="none" w:sz="0" w:space="0" w:color="auto"/>
        <w:bottom w:val="none" w:sz="0" w:space="0" w:color="auto"/>
        <w:right w:val="none" w:sz="0" w:space="0" w:color="auto"/>
      </w:divBdr>
    </w:div>
    <w:div w:id="1469936954">
      <w:bodyDiv w:val="1"/>
      <w:marLeft w:val="0"/>
      <w:marRight w:val="0"/>
      <w:marTop w:val="0"/>
      <w:marBottom w:val="0"/>
      <w:divBdr>
        <w:top w:val="none" w:sz="0" w:space="0" w:color="auto"/>
        <w:left w:val="none" w:sz="0" w:space="0" w:color="auto"/>
        <w:bottom w:val="none" w:sz="0" w:space="0" w:color="auto"/>
        <w:right w:val="none" w:sz="0" w:space="0" w:color="auto"/>
      </w:divBdr>
    </w:div>
    <w:div w:id="162831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b.gov.lv/veidlapas/2015/2-inovacij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CC2CAA88</Template>
  <TotalTime>280</TotalTime>
  <Pages>2</Pages>
  <Words>2573</Words>
  <Characters>1467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Siliņa</dc:creator>
  <cp:keywords/>
  <dc:description/>
  <cp:lastModifiedBy>Ieva Siliņa</cp:lastModifiedBy>
  <cp:revision>6</cp:revision>
  <dcterms:created xsi:type="dcterms:W3CDTF">2016-03-24T14:06:00Z</dcterms:created>
  <dcterms:modified xsi:type="dcterms:W3CDTF">2016-04-05T06:40:00Z</dcterms:modified>
</cp:coreProperties>
</file>