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6DE" w:rsidRDefault="003E56DE" w:rsidP="003E56DE">
      <w:r w:rsidRPr="00C04EC1">
        <w:rPr>
          <w:b/>
          <w:u w:val="single"/>
        </w:rPr>
        <w:t>Projekta iesnieguma sagatavošanas, iesniegšanas un vērtēšanas jautājumi</w:t>
      </w:r>
    </w:p>
    <w:p w:rsidR="003E56DE" w:rsidRDefault="003E56DE" w:rsidP="003E56DE"/>
    <w:p w:rsidR="003E56DE" w:rsidRDefault="003E56DE" w:rsidP="003E56DE">
      <w:pPr>
        <w:jc w:val="both"/>
        <w:rPr>
          <w:rFonts w:asciiTheme="minorHAnsi" w:hAnsiTheme="minorHAnsi"/>
          <w:color w:val="FF0000"/>
          <w:lang w:eastAsia="en-US"/>
        </w:rPr>
      </w:pPr>
    </w:p>
    <w:p w:rsidR="003E56DE" w:rsidRPr="007D7B95" w:rsidRDefault="00690803" w:rsidP="003E56DE">
      <w:pPr>
        <w:jc w:val="both"/>
        <w:rPr>
          <w:rFonts w:asciiTheme="minorHAnsi" w:hAnsiTheme="minorHAnsi"/>
          <w:sz w:val="22"/>
          <w:szCs w:val="22"/>
          <w:lang w:eastAsia="en-US"/>
        </w:rPr>
      </w:pPr>
      <w:r>
        <w:rPr>
          <w:rFonts w:asciiTheme="minorHAnsi" w:hAnsiTheme="minorHAnsi"/>
          <w:b/>
          <w:sz w:val="22"/>
          <w:szCs w:val="22"/>
          <w:lang w:eastAsia="en-US"/>
        </w:rPr>
        <w:t>1.</w:t>
      </w:r>
      <w:r w:rsidR="003E56DE" w:rsidRPr="00690803">
        <w:rPr>
          <w:rFonts w:asciiTheme="minorHAnsi" w:hAnsiTheme="minorHAnsi"/>
          <w:b/>
          <w:sz w:val="22"/>
          <w:szCs w:val="22"/>
          <w:lang w:eastAsia="en-US"/>
        </w:rPr>
        <w:t>Jautājums:</w:t>
      </w:r>
      <w:r w:rsidR="003E56DE" w:rsidRPr="007D7B95">
        <w:rPr>
          <w:rFonts w:asciiTheme="minorHAnsi" w:hAnsiTheme="minorHAnsi"/>
          <w:sz w:val="22"/>
          <w:szCs w:val="22"/>
          <w:lang w:eastAsia="en-US"/>
        </w:rPr>
        <w:t xml:space="preserve"> </w:t>
      </w:r>
      <w:r w:rsidR="003E56DE" w:rsidRPr="007D7B95">
        <w:rPr>
          <w:rFonts w:asciiTheme="minorHAnsi" w:hAnsiTheme="minorHAnsi" w:cs="Arial"/>
          <w:sz w:val="22"/>
          <w:szCs w:val="22"/>
        </w:rPr>
        <w:t>jautājums par potenciālo Kompetences centra direktora pieredzi. Tā kā šo posteni nevarēs precizēt, ja gadījumā kandidāts neatbilst, lūdzam skaidrot, vai visa kandidāta zemāk uzrakstītā pieredze tiks ņemta vērā (</w:t>
      </w:r>
      <w:r w:rsidR="003E56DE" w:rsidRPr="007D7B95">
        <w:rPr>
          <w:rFonts w:asciiTheme="minorHAnsi" w:hAnsiTheme="minorHAnsi" w:cs="Arial"/>
          <w:i/>
          <w:sz w:val="22"/>
          <w:szCs w:val="22"/>
        </w:rPr>
        <w:t xml:space="preserve">jautājums publicēts nepilnā apjomā, jo satur fiziskas personas </w:t>
      </w:r>
      <w:proofErr w:type="spellStart"/>
      <w:r w:rsidR="003E56DE" w:rsidRPr="007D7B95">
        <w:rPr>
          <w:rFonts w:asciiTheme="minorHAnsi" w:hAnsiTheme="minorHAnsi" w:cs="Arial"/>
          <w:i/>
          <w:sz w:val="22"/>
          <w:szCs w:val="22"/>
        </w:rPr>
        <w:t>sensitīvo</w:t>
      </w:r>
      <w:proofErr w:type="spellEnd"/>
      <w:r w:rsidR="003E56DE" w:rsidRPr="007D7B95">
        <w:rPr>
          <w:rFonts w:asciiTheme="minorHAnsi" w:hAnsiTheme="minorHAnsi" w:cs="Arial"/>
          <w:i/>
          <w:sz w:val="22"/>
          <w:szCs w:val="22"/>
        </w:rPr>
        <w:t xml:space="preserve"> informāciju</w:t>
      </w:r>
      <w:r w:rsidR="003E56DE" w:rsidRPr="007D7B95">
        <w:rPr>
          <w:rFonts w:asciiTheme="minorHAnsi" w:hAnsiTheme="minorHAnsi" w:cs="Arial"/>
          <w:sz w:val="22"/>
          <w:szCs w:val="22"/>
        </w:rPr>
        <w:t>)</w:t>
      </w:r>
    </w:p>
    <w:p w:rsidR="003E56DE" w:rsidRPr="007D7B95" w:rsidRDefault="003E56DE" w:rsidP="003E56DE">
      <w:pPr>
        <w:jc w:val="both"/>
        <w:rPr>
          <w:rFonts w:asciiTheme="minorHAnsi" w:hAnsiTheme="minorHAnsi"/>
          <w:sz w:val="22"/>
          <w:szCs w:val="22"/>
          <w:lang w:eastAsia="en-US"/>
        </w:rPr>
      </w:pPr>
    </w:p>
    <w:p w:rsidR="003E56DE" w:rsidRPr="007D7B95" w:rsidRDefault="004440B7" w:rsidP="003E56DE">
      <w:pPr>
        <w:jc w:val="both"/>
        <w:rPr>
          <w:rFonts w:asciiTheme="minorHAnsi" w:hAnsiTheme="minorHAnsi"/>
          <w:sz w:val="22"/>
          <w:szCs w:val="22"/>
          <w:lang w:eastAsia="en-US"/>
        </w:rPr>
      </w:pPr>
      <w:r w:rsidRPr="00690803">
        <w:rPr>
          <w:rFonts w:asciiTheme="minorHAnsi" w:hAnsiTheme="minorHAnsi"/>
          <w:b/>
          <w:sz w:val="22"/>
          <w:szCs w:val="22"/>
          <w:lang w:eastAsia="en-US"/>
        </w:rPr>
        <w:t>Atbilde:</w:t>
      </w:r>
      <w:r w:rsidRPr="007D7B95">
        <w:rPr>
          <w:rFonts w:asciiTheme="minorHAnsi" w:hAnsiTheme="minorHAnsi"/>
          <w:sz w:val="22"/>
          <w:szCs w:val="22"/>
          <w:lang w:eastAsia="en-US"/>
        </w:rPr>
        <w:t xml:space="preserve"> N</w:t>
      </w:r>
      <w:r w:rsidR="003E56DE" w:rsidRPr="007D7B95">
        <w:rPr>
          <w:rFonts w:asciiTheme="minorHAnsi" w:hAnsiTheme="minorHAnsi"/>
          <w:sz w:val="22"/>
          <w:szCs w:val="22"/>
          <w:lang w:eastAsia="en-US"/>
        </w:rPr>
        <w:t xml:space="preserve">orādītais pieredzes raksturojums potenciālajam Kompetences centra direktoram, kas tiks iesniegts pie projekta iesnieguma tiks ņemts vērā un par tās atbilstību 2.1.kvalitātes </w:t>
      </w:r>
      <w:proofErr w:type="spellStart"/>
      <w:r w:rsidR="003E56DE" w:rsidRPr="007D7B95">
        <w:rPr>
          <w:rFonts w:asciiTheme="minorHAnsi" w:hAnsiTheme="minorHAnsi"/>
          <w:sz w:val="22"/>
          <w:szCs w:val="22"/>
          <w:lang w:eastAsia="en-US"/>
        </w:rPr>
        <w:t>apakškritērija</w:t>
      </w:r>
      <w:proofErr w:type="spellEnd"/>
      <w:r w:rsidR="003E56DE" w:rsidRPr="007D7B95">
        <w:rPr>
          <w:rFonts w:asciiTheme="minorHAnsi" w:hAnsiTheme="minorHAnsi"/>
          <w:sz w:val="22"/>
          <w:szCs w:val="22"/>
          <w:lang w:eastAsia="en-US"/>
        </w:rPr>
        <w:t xml:space="preserve"> prasībām lems vērtēšanas komisija.</w:t>
      </w:r>
    </w:p>
    <w:p w:rsidR="004440B7" w:rsidRPr="007D7B95" w:rsidRDefault="004440B7" w:rsidP="003E56DE">
      <w:pPr>
        <w:jc w:val="both"/>
        <w:rPr>
          <w:rFonts w:asciiTheme="minorHAnsi" w:hAnsiTheme="minorHAnsi"/>
          <w:sz w:val="22"/>
          <w:szCs w:val="22"/>
          <w:lang w:eastAsia="en-US"/>
        </w:rPr>
      </w:pPr>
    </w:p>
    <w:p w:rsidR="00690803" w:rsidRDefault="00690803" w:rsidP="004440B7">
      <w:pPr>
        <w:rPr>
          <w:rFonts w:asciiTheme="minorHAnsi" w:hAnsiTheme="minorHAnsi" w:cs="Tahoma"/>
          <w:b/>
          <w:sz w:val="22"/>
          <w:szCs w:val="22"/>
        </w:rPr>
      </w:pPr>
    </w:p>
    <w:p w:rsidR="004440B7" w:rsidRPr="007D7B95" w:rsidRDefault="00690803" w:rsidP="004440B7">
      <w:pPr>
        <w:rPr>
          <w:rFonts w:asciiTheme="minorHAnsi" w:hAnsiTheme="minorHAnsi" w:cs="Tahoma"/>
          <w:sz w:val="22"/>
          <w:szCs w:val="22"/>
        </w:rPr>
      </w:pPr>
      <w:r>
        <w:rPr>
          <w:rFonts w:asciiTheme="minorHAnsi" w:hAnsiTheme="minorHAnsi" w:cs="Tahoma"/>
          <w:b/>
          <w:sz w:val="22"/>
          <w:szCs w:val="22"/>
        </w:rPr>
        <w:t>2.</w:t>
      </w:r>
      <w:r w:rsidR="004440B7" w:rsidRPr="007D7B95">
        <w:rPr>
          <w:rFonts w:asciiTheme="minorHAnsi" w:hAnsiTheme="minorHAnsi" w:cs="Tahoma"/>
          <w:b/>
          <w:sz w:val="22"/>
          <w:szCs w:val="22"/>
        </w:rPr>
        <w:t xml:space="preserve"> jautājums</w:t>
      </w:r>
      <w:r>
        <w:rPr>
          <w:rFonts w:asciiTheme="minorHAnsi" w:hAnsiTheme="minorHAnsi" w:cs="Tahoma"/>
          <w:b/>
          <w:sz w:val="22"/>
          <w:szCs w:val="22"/>
        </w:rPr>
        <w:t xml:space="preserve"> (precizējošs)</w:t>
      </w:r>
      <w:r w:rsidR="004440B7" w:rsidRPr="007D7B95">
        <w:rPr>
          <w:rFonts w:asciiTheme="minorHAnsi" w:hAnsiTheme="minorHAnsi" w:cs="Tahoma"/>
          <w:sz w:val="22"/>
          <w:szCs w:val="22"/>
        </w:rPr>
        <w:t>:</w:t>
      </w:r>
    </w:p>
    <w:p w:rsidR="004440B7" w:rsidRPr="007D7B95" w:rsidRDefault="004440B7" w:rsidP="004440B7">
      <w:pPr>
        <w:rPr>
          <w:rFonts w:asciiTheme="minorHAnsi" w:hAnsiTheme="minorHAnsi" w:cs="Tahoma"/>
          <w:sz w:val="22"/>
          <w:szCs w:val="22"/>
        </w:rPr>
      </w:pPr>
    </w:p>
    <w:p w:rsidR="004440B7" w:rsidRPr="007D7B95" w:rsidRDefault="004440B7" w:rsidP="004440B7">
      <w:pPr>
        <w:rPr>
          <w:rFonts w:asciiTheme="minorHAnsi" w:hAnsiTheme="minorHAnsi" w:cs="Tahoma"/>
          <w:sz w:val="22"/>
          <w:szCs w:val="22"/>
        </w:rPr>
      </w:pPr>
      <w:r w:rsidRPr="007D7B95">
        <w:rPr>
          <w:rFonts w:asciiTheme="minorHAnsi" w:hAnsiTheme="minorHAnsi" w:cs="Tahoma"/>
          <w:sz w:val="22"/>
          <w:szCs w:val="22"/>
        </w:rPr>
        <w:t>Vai no tā izriet, ka tiks atteikts pieņemt, iekopēt un pārbaudīt vai nolasāms un korekti parakstīts elektroniski parakstīts projekta pieteikums, ja 16.maijā, darba laikā uz CFLA tiks atnests uz zibatmiņas datu nesēja ierakstīts, ar elektronisko parakstu parakstīts projekta pieteikums? </w:t>
      </w:r>
    </w:p>
    <w:p w:rsidR="004440B7" w:rsidRPr="007D7B95" w:rsidRDefault="004440B7" w:rsidP="004440B7">
      <w:pPr>
        <w:rPr>
          <w:rFonts w:asciiTheme="minorHAnsi" w:hAnsiTheme="minorHAnsi" w:cs="Tahoma"/>
          <w:sz w:val="22"/>
          <w:szCs w:val="22"/>
        </w:rPr>
      </w:pPr>
    </w:p>
    <w:p w:rsidR="00CC6C6C" w:rsidRPr="007D7B95" w:rsidRDefault="00CC6C6C" w:rsidP="004440B7">
      <w:pPr>
        <w:rPr>
          <w:rFonts w:asciiTheme="minorHAnsi" w:hAnsiTheme="minorHAnsi" w:cs="Tahoma"/>
          <w:b/>
          <w:sz w:val="22"/>
          <w:szCs w:val="22"/>
        </w:rPr>
      </w:pPr>
      <w:r w:rsidRPr="007D7B95">
        <w:rPr>
          <w:rFonts w:asciiTheme="minorHAnsi" w:hAnsiTheme="minorHAnsi" w:cs="Tahoma"/>
          <w:b/>
          <w:sz w:val="22"/>
          <w:szCs w:val="22"/>
        </w:rPr>
        <w:t xml:space="preserve">Atbilde: </w:t>
      </w:r>
    </w:p>
    <w:p w:rsidR="00CC6C6C" w:rsidRPr="007D7B95" w:rsidRDefault="00CC6C6C" w:rsidP="004440B7">
      <w:pPr>
        <w:rPr>
          <w:rFonts w:asciiTheme="minorHAnsi" w:hAnsiTheme="minorHAnsi" w:cs="Tahoma"/>
          <w:sz w:val="22"/>
          <w:szCs w:val="22"/>
        </w:rPr>
      </w:pPr>
    </w:p>
    <w:p w:rsidR="004440B7" w:rsidRPr="007D7B95" w:rsidRDefault="008B3E59" w:rsidP="003E56DE">
      <w:pPr>
        <w:jc w:val="both"/>
        <w:rPr>
          <w:rFonts w:asciiTheme="minorHAnsi" w:hAnsiTheme="minorHAnsi"/>
          <w:sz w:val="22"/>
          <w:szCs w:val="22"/>
        </w:rPr>
      </w:pPr>
      <w:r w:rsidRPr="007D7B95">
        <w:rPr>
          <w:rFonts w:asciiTheme="minorHAnsi" w:hAnsiTheme="minorHAnsi"/>
          <w:sz w:val="22"/>
          <w:szCs w:val="22"/>
        </w:rPr>
        <w:t>Nē, netiks atteikts, ja elektroniski parakstīts dokuments tiks iesniegts</w:t>
      </w:r>
      <w:r w:rsidR="006951A9" w:rsidRPr="007D7B95">
        <w:rPr>
          <w:rFonts w:asciiTheme="minorHAnsi" w:hAnsiTheme="minorHAnsi"/>
          <w:sz w:val="22"/>
          <w:szCs w:val="22"/>
        </w:rPr>
        <w:t xml:space="preserve"> izmantojot</w:t>
      </w:r>
      <w:r w:rsidRPr="007D7B95">
        <w:rPr>
          <w:rFonts w:asciiTheme="minorHAnsi" w:hAnsiTheme="minorHAnsi"/>
          <w:sz w:val="22"/>
          <w:szCs w:val="22"/>
        </w:rPr>
        <w:t xml:space="preserve"> 28.06.2005. MK noteikumu Nr.473 “</w:t>
      </w:r>
      <w:r w:rsidRPr="007D7B95">
        <w:rPr>
          <w:rFonts w:asciiTheme="minorHAnsi" w:hAnsiTheme="minorHAnsi" w:cs="Arial"/>
          <w:bCs/>
          <w:sz w:val="22"/>
          <w:szCs w:val="22"/>
          <w:shd w:val="clear" w:color="auto" w:fill="FFFFFF"/>
        </w:rPr>
        <w:t xml:space="preserve">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14. punktā norādītos </w:t>
      </w:r>
      <w:r w:rsidRPr="007D7B95">
        <w:rPr>
          <w:rFonts w:asciiTheme="minorHAnsi" w:hAnsiTheme="minorHAnsi" w:cs="Arial"/>
          <w:sz w:val="22"/>
          <w:szCs w:val="22"/>
          <w:shd w:val="clear" w:color="auto" w:fill="F1F1F1"/>
        </w:rPr>
        <w:t>elektroniskos datu nesējus un informācijas apmaiņas veidus.</w:t>
      </w:r>
    </w:p>
    <w:p w:rsidR="006951A9" w:rsidRPr="007D7B95" w:rsidRDefault="006951A9" w:rsidP="003E56DE">
      <w:pPr>
        <w:jc w:val="both"/>
        <w:rPr>
          <w:rFonts w:asciiTheme="minorHAnsi" w:hAnsiTheme="minorHAnsi"/>
          <w:b/>
          <w:sz w:val="22"/>
          <w:szCs w:val="22"/>
        </w:rPr>
      </w:pPr>
    </w:p>
    <w:p w:rsidR="006951A9" w:rsidRPr="007D7B95" w:rsidRDefault="006951A9" w:rsidP="003E56DE">
      <w:pPr>
        <w:jc w:val="both"/>
        <w:rPr>
          <w:rFonts w:asciiTheme="minorHAnsi" w:hAnsiTheme="minorHAnsi"/>
          <w:b/>
          <w:sz w:val="22"/>
          <w:szCs w:val="22"/>
        </w:rPr>
      </w:pPr>
    </w:p>
    <w:p w:rsidR="004440B7" w:rsidRPr="007D7B95" w:rsidRDefault="004440B7" w:rsidP="003E56DE">
      <w:pPr>
        <w:jc w:val="both"/>
        <w:rPr>
          <w:rFonts w:asciiTheme="minorHAnsi" w:hAnsiTheme="minorHAnsi"/>
          <w:sz w:val="22"/>
          <w:szCs w:val="22"/>
        </w:rPr>
      </w:pPr>
    </w:p>
    <w:p w:rsidR="00E27D4E" w:rsidRDefault="00690803" w:rsidP="00690803">
      <w:pPr>
        <w:jc w:val="both"/>
        <w:rPr>
          <w:rFonts w:asciiTheme="minorHAnsi" w:hAnsiTheme="minorHAnsi"/>
        </w:rPr>
      </w:pPr>
      <w:r>
        <w:rPr>
          <w:rFonts w:asciiTheme="minorHAnsi" w:hAnsiTheme="minorHAnsi"/>
          <w:b/>
          <w:sz w:val="22"/>
          <w:szCs w:val="22"/>
        </w:rPr>
        <w:t>3.</w:t>
      </w:r>
      <w:r w:rsidR="00E27D4E" w:rsidRPr="007D7B95">
        <w:rPr>
          <w:rFonts w:asciiTheme="minorHAnsi" w:hAnsiTheme="minorHAnsi"/>
          <w:b/>
          <w:sz w:val="22"/>
          <w:szCs w:val="22"/>
        </w:rPr>
        <w:t>Jautājums:</w:t>
      </w:r>
      <w:r>
        <w:rPr>
          <w:rFonts w:asciiTheme="minorHAnsi" w:hAnsiTheme="minorHAnsi"/>
          <w:b/>
          <w:sz w:val="22"/>
          <w:szCs w:val="22"/>
        </w:rPr>
        <w:t xml:space="preserve"> </w:t>
      </w:r>
      <w:r w:rsidR="00E27D4E" w:rsidRPr="00690803">
        <w:rPr>
          <w:rFonts w:asciiTheme="minorHAnsi" w:hAnsiTheme="minorHAnsi"/>
        </w:rPr>
        <w:t>Sadaļa 1.9. - vai tur jāpievieno tikai sadarbības partneri - komersanti, vai arī PZIO?</w:t>
      </w:r>
    </w:p>
    <w:p w:rsidR="00690803" w:rsidRPr="00690803" w:rsidRDefault="00690803" w:rsidP="00690803">
      <w:pPr>
        <w:jc w:val="both"/>
        <w:rPr>
          <w:rFonts w:asciiTheme="minorHAnsi" w:hAnsiTheme="minorHAnsi"/>
          <w:b/>
          <w:sz w:val="22"/>
          <w:szCs w:val="22"/>
        </w:rPr>
      </w:pPr>
    </w:p>
    <w:p w:rsidR="00E27D4E" w:rsidRPr="007D7B95" w:rsidRDefault="00E27D4E" w:rsidP="00962B70">
      <w:pPr>
        <w:jc w:val="both"/>
        <w:rPr>
          <w:rFonts w:asciiTheme="minorHAnsi" w:hAnsiTheme="minorHAnsi"/>
          <w:sz w:val="22"/>
          <w:szCs w:val="22"/>
        </w:rPr>
      </w:pPr>
      <w:r w:rsidRPr="007D7B95">
        <w:rPr>
          <w:rFonts w:asciiTheme="minorHAnsi" w:hAnsiTheme="minorHAnsi"/>
          <w:b/>
          <w:sz w:val="22"/>
          <w:szCs w:val="22"/>
        </w:rPr>
        <w:t>Atbilde:</w:t>
      </w:r>
      <w:r w:rsidRPr="007D7B95">
        <w:rPr>
          <w:rFonts w:asciiTheme="minorHAnsi" w:hAnsiTheme="minorHAnsi"/>
          <w:sz w:val="22"/>
          <w:szCs w:val="22"/>
        </w:rPr>
        <w:t xml:space="preserve"> 1.9.sadaļā kā projekta sadarbības partneri jānorāda individuālo pētniecības projektu īstenotāji un sadarbības pētījumu projektu vadošie pētījuma īstenotāji, šādā gadījumā pārējos pētījuma partnerus norādot 1.9.apakšsadaļā “Partnera izvēles pamatojums”, kā arī detalizētāku informāciju (t.sk., par piemērojamām intensitātēm) sniedzot projekta iesniegumam pievienotajā pētījuma aprakstā. </w:t>
      </w:r>
    </w:p>
    <w:p w:rsidR="009B1341" w:rsidRPr="007D7B95" w:rsidRDefault="009B1341" w:rsidP="00962B70">
      <w:pPr>
        <w:spacing w:after="240"/>
        <w:jc w:val="both"/>
        <w:rPr>
          <w:rFonts w:asciiTheme="minorHAnsi" w:hAnsiTheme="minorHAnsi"/>
          <w:b/>
          <w:sz w:val="22"/>
          <w:szCs w:val="22"/>
        </w:rPr>
      </w:pPr>
    </w:p>
    <w:p w:rsidR="00E27D4E" w:rsidRPr="007D7B95" w:rsidRDefault="00690803" w:rsidP="00962B70">
      <w:pPr>
        <w:spacing w:after="240"/>
        <w:jc w:val="both"/>
        <w:rPr>
          <w:rFonts w:asciiTheme="minorHAnsi" w:hAnsiTheme="minorHAnsi"/>
          <w:b/>
          <w:sz w:val="22"/>
          <w:szCs w:val="22"/>
        </w:rPr>
      </w:pPr>
      <w:r>
        <w:rPr>
          <w:rFonts w:asciiTheme="minorHAnsi" w:hAnsiTheme="minorHAnsi"/>
          <w:b/>
          <w:sz w:val="22"/>
          <w:szCs w:val="22"/>
        </w:rPr>
        <w:t>4.</w:t>
      </w:r>
      <w:r w:rsidR="00E27D4E" w:rsidRPr="007D7B95">
        <w:rPr>
          <w:rFonts w:asciiTheme="minorHAnsi" w:hAnsiTheme="minorHAnsi"/>
          <w:b/>
          <w:sz w:val="22"/>
          <w:szCs w:val="22"/>
        </w:rPr>
        <w:t>Jautājums:</w:t>
      </w:r>
    </w:p>
    <w:p w:rsidR="00E27D4E" w:rsidRPr="007D7B95" w:rsidRDefault="00E27D4E" w:rsidP="00962B70">
      <w:pPr>
        <w:jc w:val="both"/>
        <w:rPr>
          <w:rFonts w:asciiTheme="minorHAnsi" w:hAnsiTheme="minorHAnsi"/>
          <w:sz w:val="22"/>
          <w:szCs w:val="22"/>
        </w:rPr>
      </w:pPr>
      <w:r w:rsidRPr="007D7B95">
        <w:rPr>
          <w:rFonts w:asciiTheme="minorHAnsi" w:hAnsiTheme="minorHAnsi"/>
          <w:sz w:val="22"/>
          <w:szCs w:val="22"/>
        </w:rPr>
        <w:t xml:space="preserve">Sadaļa 7.1. - kurš tad ir īstais variants, kas jānorāda - tas, kas izcelts </w:t>
      </w:r>
      <w:proofErr w:type="spellStart"/>
      <w:r w:rsidRPr="007D7B95">
        <w:rPr>
          <w:rFonts w:asciiTheme="minorHAnsi" w:hAnsiTheme="minorHAnsi"/>
          <w:sz w:val="22"/>
          <w:szCs w:val="22"/>
        </w:rPr>
        <w:t>boldā</w:t>
      </w:r>
      <w:proofErr w:type="spellEnd"/>
      <w:r w:rsidRPr="007D7B95">
        <w:rPr>
          <w:rFonts w:asciiTheme="minorHAnsi" w:hAnsiTheme="minorHAnsi"/>
          <w:sz w:val="22"/>
          <w:szCs w:val="22"/>
        </w:rPr>
        <w:t xml:space="preserve"> vai tas, kurš zemāk? - jo viņi sanāk pretrunīgi, un variants "finansējuma saņēmējs ir valsts atbalsta sniedzējs, bet nesniedz </w:t>
      </w:r>
      <w:proofErr w:type="spellStart"/>
      <w:r w:rsidRPr="007D7B95">
        <w:rPr>
          <w:rFonts w:asciiTheme="minorHAnsi" w:hAnsiTheme="minorHAnsi"/>
          <w:sz w:val="22"/>
          <w:szCs w:val="22"/>
        </w:rPr>
        <w:t>de</w:t>
      </w:r>
      <w:proofErr w:type="spellEnd"/>
      <w:r w:rsidRPr="007D7B95">
        <w:rPr>
          <w:rFonts w:asciiTheme="minorHAnsi" w:hAnsiTheme="minorHAnsi"/>
          <w:sz w:val="22"/>
          <w:szCs w:val="22"/>
        </w:rPr>
        <w:t xml:space="preserve"> </w:t>
      </w:r>
      <w:proofErr w:type="spellStart"/>
      <w:r w:rsidRPr="007D7B95">
        <w:rPr>
          <w:rFonts w:asciiTheme="minorHAnsi" w:hAnsiTheme="minorHAnsi"/>
          <w:sz w:val="22"/>
          <w:szCs w:val="22"/>
        </w:rPr>
        <w:t>minimis</w:t>
      </w:r>
      <w:proofErr w:type="spellEnd"/>
      <w:r w:rsidRPr="007D7B95">
        <w:rPr>
          <w:rFonts w:asciiTheme="minorHAnsi" w:hAnsiTheme="minorHAnsi"/>
          <w:sz w:val="22"/>
          <w:szCs w:val="22"/>
        </w:rPr>
        <w:t xml:space="preserve"> atbalstu" izvēlnē neparādās. </w:t>
      </w:r>
    </w:p>
    <w:p w:rsidR="00E27D4E" w:rsidRPr="007D7B95" w:rsidRDefault="00E27D4E" w:rsidP="00962B70">
      <w:pPr>
        <w:spacing w:before="100" w:beforeAutospacing="1"/>
        <w:jc w:val="both"/>
        <w:rPr>
          <w:rFonts w:asciiTheme="minorHAnsi" w:hAnsiTheme="minorHAnsi"/>
          <w:sz w:val="22"/>
          <w:szCs w:val="22"/>
        </w:rPr>
      </w:pPr>
      <w:r w:rsidRPr="007D7B95">
        <w:rPr>
          <w:rFonts w:asciiTheme="minorHAnsi" w:hAnsiTheme="minorHAnsi"/>
          <w:i/>
          <w:iCs/>
          <w:sz w:val="22"/>
          <w:szCs w:val="22"/>
        </w:rPr>
        <w:t>Šajā SAM pasākumā projekta iesniedzējs norāda:</w:t>
      </w:r>
    </w:p>
    <w:p w:rsidR="00E27D4E" w:rsidRPr="007D7B95" w:rsidRDefault="00E27D4E" w:rsidP="00962B70">
      <w:pPr>
        <w:spacing w:before="100" w:beforeAutospacing="1"/>
        <w:jc w:val="both"/>
        <w:rPr>
          <w:rFonts w:asciiTheme="minorHAnsi" w:hAnsiTheme="minorHAnsi"/>
          <w:sz w:val="22"/>
          <w:szCs w:val="22"/>
        </w:rPr>
      </w:pPr>
      <w:r w:rsidRPr="007D7B95">
        <w:rPr>
          <w:rFonts w:asciiTheme="minorHAnsi" w:hAnsiTheme="minorHAnsi"/>
          <w:b/>
          <w:bCs/>
          <w:i/>
          <w:iCs/>
          <w:sz w:val="22"/>
          <w:szCs w:val="22"/>
        </w:rPr>
        <w:t xml:space="preserve">„projektā finansējuma saņēmējs saņem valsts atbalstu un ir valsts atbalsta, </w:t>
      </w:r>
      <w:hyperlink r:id="rId5" w:history="1">
        <w:r w:rsidRPr="007D7B95">
          <w:rPr>
            <w:rStyle w:val="Hyperlink"/>
            <w:rFonts w:asciiTheme="minorHAnsi" w:hAnsiTheme="minorHAnsi"/>
            <w:b/>
            <w:bCs/>
            <w:i/>
            <w:iCs/>
            <w:color w:val="auto"/>
            <w:sz w:val="22"/>
            <w:szCs w:val="22"/>
          </w:rPr>
          <w:t>t.sk</w:t>
        </w:r>
      </w:hyperlink>
      <w:r w:rsidRPr="007D7B95">
        <w:rPr>
          <w:rFonts w:asciiTheme="minorHAnsi" w:hAnsiTheme="minorHAnsi"/>
          <w:b/>
          <w:bCs/>
          <w:i/>
          <w:iCs/>
          <w:sz w:val="22"/>
          <w:szCs w:val="22"/>
        </w:rPr>
        <w:t xml:space="preserve">. </w:t>
      </w:r>
      <w:proofErr w:type="spellStart"/>
      <w:r w:rsidRPr="007D7B95">
        <w:rPr>
          <w:rFonts w:asciiTheme="minorHAnsi" w:hAnsiTheme="minorHAnsi"/>
          <w:b/>
          <w:bCs/>
          <w:i/>
          <w:iCs/>
          <w:sz w:val="22"/>
          <w:szCs w:val="22"/>
        </w:rPr>
        <w:t>de</w:t>
      </w:r>
      <w:proofErr w:type="spellEnd"/>
      <w:r w:rsidRPr="007D7B95">
        <w:rPr>
          <w:rFonts w:asciiTheme="minorHAnsi" w:hAnsiTheme="minorHAnsi"/>
          <w:b/>
          <w:bCs/>
          <w:i/>
          <w:iCs/>
          <w:sz w:val="22"/>
          <w:szCs w:val="22"/>
        </w:rPr>
        <w:t xml:space="preserve"> </w:t>
      </w:r>
      <w:proofErr w:type="spellStart"/>
      <w:r w:rsidRPr="007D7B95">
        <w:rPr>
          <w:rFonts w:asciiTheme="minorHAnsi" w:hAnsiTheme="minorHAnsi"/>
          <w:b/>
          <w:bCs/>
          <w:i/>
          <w:iCs/>
          <w:sz w:val="22"/>
          <w:szCs w:val="22"/>
        </w:rPr>
        <w:t>minimis</w:t>
      </w:r>
      <w:proofErr w:type="spellEnd"/>
      <w:r w:rsidRPr="007D7B95">
        <w:rPr>
          <w:rFonts w:asciiTheme="minorHAnsi" w:hAnsiTheme="minorHAnsi"/>
          <w:b/>
          <w:bCs/>
          <w:i/>
          <w:iCs/>
          <w:sz w:val="22"/>
          <w:szCs w:val="22"/>
        </w:rPr>
        <w:t xml:space="preserve"> atbalsta sniedzējs”</w:t>
      </w:r>
    </w:p>
    <w:p w:rsidR="00E27D4E" w:rsidRPr="007D7B95" w:rsidRDefault="00E27D4E" w:rsidP="00962B70">
      <w:pPr>
        <w:jc w:val="both"/>
        <w:rPr>
          <w:rFonts w:asciiTheme="minorHAnsi" w:hAnsiTheme="minorHAnsi"/>
          <w:sz w:val="22"/>
          <w:szCs w:val="22"/>
        </w:rPr>
      </w:pPr>
      <w:r w:rsidRPr="007D7B95">
        <w:rPr>
          <w:rFonts w:asciiTheme="minorHAnsi" w:hAnsiTheme="minorHAnsi"/>
          <w:i/>
          <w:iCs/>
          <w:sz w:val="22"/>
          <w:szCs w:val="22"/>
        </w:rPr>
        <w:lastRenderedPageBreak/>
        <w:t xml:space="preserve">Šajā SAM pasākumā finansējuma saņēmējs ir valsts atbalsta sniedzējs, bet nesniedz </w:t>
      </w:r>
      <w:proofErr w:type="spellStart"/>
      <w:r w:rsidRPr="007D7B95">
        <w:rPr>
          <w:rFonts w:asciiTheme="minorHAnsi" w:hAnsiTheme="minorHAnsi"/>
          <w:i/>
          <w:iCs/>
          <w:sz w:val="22"/>
          <w:szCs w:val="22"/>
        </w:rPr>
        <w:t>de</w:t>
      </w:r>
      <w:proofErr w:type="spellEnd"/>
      <w:r w:rsidRPr="007D7B95">
        <w:rPr>
          <w:rFonts w:asciiTheme="minorHAnsi" w:hAnsiTheme="minorHAnsi"/>
          <w:i/>
          <w:iCs/>
          <w:sz w:val="22"/>
          <w:szCs w:val="22"/>
        </w:rPr>
        <w:t xml:space="preserve"> </w:t>
      </w:r>
      <w:proofErr w:type="spellStart"/>
      <w:r w:rsidRPr="007D7B95">
        <w:rPr>
          <w:rFonts w:asciiTheme="minorHAnsi" w:hAnsiTheme="minorHAnsi"/>
          <w:i/>
          <w:iCs/>
          <w:sz w:val="22"/>
          <w:szCs w:val="22"/>
        </w:rPr>
        <w:t>minimis</w:t>
      </w:r>
      <w:proofErr w:type="spellEnd"/>
      <w:r w:rsidRPr="007D7B95">
        <w:rPr>
          <w:rFonts w:asciiTheme="minorHAnsi" w:hAnsiTheme="minorHAnsi"/>
          <w:i/>
          <w:iCs/>
          <w:sz w:val="22"/>
          <w:szCs w:val="22"/>
        </w:rPr>
        <w:t xml:space="preserve"> atbalstu.</w:t>
      </w:r>
    </w:p>
    <w:p w:rsidR="004440B7" w:rsidRPr="007D7B95" w:rsidRDefault="004440B7" w:rsidP="00962B70">
      <w:pPr>
        <w:jc w:val="both"/>
        <w:rPr>
          <w:rFonts w:asciiTheme="minorHAnsi" w:hAnsiTheme="minorHAnsi"/>
          <w:sz w:val="22"/>
          <w:szCs w:val="22"/>
        </w:rPr>
      </w:pPr>
    </w:p>
    <w:p w:rsidR="00E27D4E" w:rsidRPr="007D7B95" w:rsidRDefault="00E27D4E" w:rsidP="00962B70">
      <w:pPr>
        <w:jc w:val="both"/>
        <w:rPr>
          <w:rFonts w:asciiTheme="minorHAnsi" w:hAnsiTheme="minorHAnsi"/>
          <w:sz w:val="22"/>
          <w:szCs w:val="22"/>
        </w:rPr>
      </w:pPr>
      <w:r w:rsidRPr="007D7B95">
        <w:rPr>
          <w:rFonts w:asciiTheme="minorHAnsi" w:hAnsiTheme="minorHAnsi"/>
          <w:b/>
          <w:sz w:val="22"/>
          <w:szCs w:val="22"/>
        </w:rPr>
        <w:t>Atbilde:</w:t>
      </w:r>
      <w:r w:rsidRPr="007D7B95">
        <w:rPr>
          <w:rFonts w:asciiTheme="minorHAnsi" w:hAnsiTheme="minorHAnsi"/>
          <w:sz w:val="22"/>
          <w:szCs w:val="22"/>
        </w:rPr>
        <w:t xml:space="preserve"> Standarta klasifikators paredz šādu izvēlni (kas nenozīmē, ka tās ietvaros visos gadījumos tiek sniegts </w:t>
      </w:r>
      <w:proofErr w:type="spellStart"/>
      <w:r w:rsidRPr="007D7B95">
        <w:rPr>
          <w:rFonts w:asciiTheme="minorHAnsi" w:hAnsiTheme="minorHAnsi"/>
          <w:i/>
          <w:sz w:val="22"/>
          <w:szCs w:val="22"/>
        </w:rPr>
        <w:t>de</w:t>
      </w:r>
      <w:proofErr w:type="spellEnd"/>
      <w:r w:rsidRPr="007D7B95">
        <w:rPr>
          <w:rFonts w:asciiTheme="minorHAnsi" w:hAnsiTheme="minorHAnsi"/>
          <w:i/>
          <w:sz w:val="22"/>
          <w:szCs w:val="22"/>
        </w:rPr>
        <w:t xml:space="preserve"> </w:t>
      </w:r>
      <w:proofErr w:type="spellStart"/>
      <w:r w:rsidRPr="007D7B95">
        <w:rPr>
          <w:rFonts w:asciiTheme="minorHAnsi" w:hAnsiTheme="minorHAnsi"/>
          <w:i/>
          <w:sz w:val="22"/>
          <w:szCs w:val="22"/>
        </w:rPr>
        <w:t>minimis</w:t>
      </w:r>
      <w:proofErr w:type="spellEnd"/>
      <w:r w:rsidRPr="007D7B95">
        <w:rPr>
          <w:rFonts w:asciiTheme="minorHAnsi" w:hAnsiTheme="minorHAnsi"/>
          <w:sz w:val="22"/>
          <w:szCs w:val="22"/>
        </w:rPr>
        <w:t xml:space="preserve"> atbalsts kā viens no valsts atbalsta veidiem), kas jānorāda 7.1.sadaļā: </w:t>
      </w:r>
      <w:r w:rsidRPr="007D7B95">
        <w:rPr>
          <w:rFonts w:asciiTheme="minorHAnsi" w:hAnsiTheme="minorHAnsi"/>
          <w:b/>
          <w:bCs/>
          <w:i/>
          <w:iCs/>
          <w:sz w:val="22"/>
          <w:szCs w:val="22"/>
        </w:rPr>
        <w:t xml:space="preserve">„projektā finansējuma saņēmējs saņem valsts atbalstu un ir valsts atbalsta, </w:t>
      </w:r>
      <w:hyperlink r:id="rId6" w:tgtFrame="_blank" w:history="1">
        <w:r w:rsidRPr="007D7B95">
          <w:rPr>
            <w:rStyle w:val="Hyperlink"/>
            <w:rFonts w:asciiTheme="minorHAnsi" w:hAnsiTheme="minorHAnsi"/>
            <w:b/>
            <w:bCs/>
            <w:i/>
            <w:iCs/>
            <w:color w:val="auto"/>
            <w:sz w:val="22"/>
            <w:szCs w:val="22"/>
          </w:rPr>
          <w:t>t.sk</w:t>
        </w:r>
      </w:hyperlink>
      <w:r w:rsidRPr="007D7B95">
        <w:rPr>
          <w:rFonts w:asciiTheme="minorHAnsi" w:hAnsiTheme="minorHAnsi"/>
          <w:b/>
          <w:bCs/>
          <w:i/>
          <w:iCs/>
          <w:sz w:val="22"/>
          <w:szCs w:val="22"/>
        </w:rPr>
        <w:t xml:space="preserve">. </w:t>
      </w:r>
      <w:proofErr w:type="spellStart"/>
      <w:r w:rsidRPr="007D7B95">
        <w:rPr>
          <w:rFonts w:asciiTheme="minorHAnsi" w:hAnsiTheme="minorHAnsi"/>
          <w:b/>
          <w:bCs/>
          <w:i/>
          <w:iCs/>
          <w:sz w:val="22"/>
          <w:szCs w:val="22"/>
        </w:rPr>
        <w:t>de</w:t>
      </w:r>
      <w:proofErr w:type="spellEnd"/>
      <w:r w:rsidRPr="007D7B95">
        <w:rPr>
          <w:rFonts w:asciiTheme="minorHAnsi" w:hAnsiTheme="minorHAnsi"/>
          <w:b/>
          <w:bCs/>
          <w:i/>
          <w:iCs/>
          <w:sz w:val="22"/>
          <w:szCs w:val="22"/>
        </w:rPr>
        <w:t xml:space="preserve"> </w:t>
      </w:r>
      <w:proofErr w:type="spellStart"/>
      <w:r w:rsidRPr="007D7B95">
        <w:rPr>
          <w:rFonts w:asciiTheme="minorHAnsi" w:hAnsiTheme="minorHAnsi"/>
          <w:b/>
          <w:bCs/>
          <w:i/>
          <w:iCs/>
          <w:sz w:val="22"/>
          <w:szCs w:val="22"/>
        </w:rPr>
        <w:t>minimis</w:t>
      </w:r>
      <w:proofErr w:type="spellEnd"/>
      <w:r w:rsidRPr="007D7B95">
        <w:rPr>
          <w:rFonts w:asciiTheme="minorHAnsi" w:hAnsiTheme="minorHAnsi"/>
          <w:b/>
          <w:bCs/>
          <w:i/>
          <w:iCs/>
          <w:sz w:val="22"/>
          <w:szCs w:val="22"/>
        </w:rPr>
        <w:t xml:space="preserve"> atbalsta sniedzējs”.</w:t>
      </w:r>
    </w:p>
    <w:p w:rsidR="00E27D4E" w:rsidRPr="007D7B95" w:rsidRDefault="00E27D4E" w:rsidP="00962B70">
      <w:pPr>
        <w:spacing w:after="240"/>
        <w:ind w:left="360"/>
        <w:jc w:val="both"/>
        <w:rPr>
          <w:rFonts w:asciiTheme="minorHAnsi" w:hAnsiTheme="minorHAnsi"/>
          <w:color w:val="FF0000"/>
          <w:sz w:val="22"/>
          <w:szCs w:val="22"/>
        </w:rPr>
      </w:pPr>
    </w:p>
    <w:p w:rsidR="009B1341" w:rsidRPr="007D7B95" w:rsidRDefault="00690803" w:rsidP="00690803">
      <w:pPr>
        <w:spacing w:after="240"/>
        <w:rPr>
          <w:rFonts w:asciiTheme="minorHAnsi" w:hAnsiTheme="minorHAnsi"/>
          <w:b/>
          <w:sz w:val="22"/>
          <w:szCs w:val="22"/>
        </w:rPr>
      </w:pPr>
      <w:r>
        <w:rPr>
          <w:rFonts w:asciiTheme="minorHAnsi" w:hAnsiTheme="minorHAnsi"/>
          <w:b/>
          <w:sz w:val="22"/>
          <w:szCs w:val="22"/>
        </w:rPr>
        <w:t>5.</w:t>
      </w:r>
      <w:r w:rsidR="009B1341" w:rsidRPr="007D7B95">
        <w:rPr>
          <w:rFonts w:asciiTheme="minorHAnsi" w:hAnsiTheme="minorHAnsi"/>
          <w:b/>
          <w:sz w:val="22"/>
          <w:szCs w:val="22"/>
        </w:rPr>
        <w:t xml:space="preserve">Jautājums: </w:t>
      </w:r>
    </w:p>
    <w:p w:rsidR="009B1341" w:rsidRPr="007D7B95" w:rsidRDefault="009B1341" w:rsidP="009B1341">
      <w:pPr>
        <w:jc w:val="both"/>
        <w:rPr>
          <w:rFonts w:asciiTheme="minorHAnsi" w:hAnsiTheme="minorHAnsi"/>
          <w:sz w:val="22"/>
          <w:szCs w:val="22"/>
        </w:rPr>
      </w:pPr>
      <w:r w:rsidRPr="007D7B95">
        <w:rPr>
          <w:rFonts w:asciiTheme="minorHAnsi" w:hAnsiTheme="minorHAnsi"/>
          <w:sz w:val="22"/>
          <w:szCs w:val="22"/>
        </w:rPr>
        <w:t>Vai MK noteikumu 17.6 punktā 25% no projekta finansējuma eksperimentālām izstrādēm ir izprotama, kā a) proporcija 25% eksperimentālām izstrādēm no pieprasītā atbalsta vai b) proporcija 25% eksperimentālām izstrādēm no attiecināmajām izmaksām vai kāda cita proporcija? Lūdzu precizējiet.</w:t>
      </w:r>
    </w:p>
    <w:p w:rsidR="009B1341" w:rsidRPr="007D7B95" w:rsidRDefault="009B1341" w:rsidP="009B1341">
      <w:pPr>
        <w:rPr>
          <w:rFonts w:asciiTheme="minorHAnsi" w:hAnsiTheme="minorHAnsi"/>
          <w:sz w:val="22"/>
          <w:szCs w:val="22"/>
        </w:rPr>
      </w:pPr>
    </w:p>
    <w:p w:rsidR="009B1341" w:rsidRPr="007D7B95" w:rsidRDefault="009B1341" w:rsidP="009B1341">
      <w:pPr>
        <w:jc w:val="both"/>
        <w:rPr>
          <w:rFonts w:asciiTheme="minorHAnsi" w:hAnsiTheme="minorHAnsi"/>
          <w:sz w:val="22"/>
          <w:szCs w:val="22"/>
        </w:rPr>
      </w:pPr>
      <w:r w:rsidRPr="007D7B95">
        <w:rPr>
          <w:rFonts w:asciiTheme="minorHAnsi" w:hAnsiTheme="minorHAnsi"/>
          <w:b/>
          <w:sz w:val="22"/>
          <w:szCs w:val="22"/>
        </w:rPr>
        <w:t xml:space="preserve">Atbilde: </w:t>
      </w:r>
      <w:r w:rsidRPr="007D7B95">
        <w:rPr>
          <w:rFonts w:asciiTheme="minorHAnsi" w:hAnsiTheme="minorHAnsi"/>
          <w:sz w:val="22"/>
          <w:szCs w:val="22"/>
        </w:rPr>
        <w:t xml:space="preserve">MK noteikumu Nr.2 17.6.punktā noteikts, ka vismaz 25% no kompetences centra projekta kopējā finansējuma ir paredzēti eksperimentālajām izstrādnēm, kas tiks pārbaudīts pēc projekta iesnieguma 3.pielikuma “Projekta budžeta kopsavilkums”, kur atsevišķā sadaļā parādās izmaksas eksperimentālajām izstrādnēm, t.i. 25% eksperimentālām izstrādēm no </w:t>
      </w:r>
      <w:r w:rsidRPr="007D7B95">
        <w:rPr>
          <w:rFonts w:asciiTheme="minorHAnsi" w:hAnsiTheme="minorHAnsi"/>
          <w:sz w:val="22"/>
          <w:szCs w:val="22"/>
          <w:u w:val="single"/>
        </w:rPr>
        <w:t>kopējām projekta attiecināmajām izmaksām</w:t>
      </w:r>
      <w:r w:rsidRPr="007D7B95">
        <w:rPr>
          <w:rFonts w:asciiTheme="minorHAnsi" w:hAnsiTheme="minorHAnsi"/>
          <w:sz w:val="22"/>
          <w:szCs w:val="22"/>
        </w:rPr>
        <w:t>, kas norādītas projekta iesnieguma 2.pielikumā un 3.pielikumā.</w:t>
      </w:r>
    </w:p>
    <w:p w:rsidR="009B1341" w:rsidRPr="007D7B95" w:rsidRDefault="009B1341" w:rsidP="009B1341">
      <w:pPr>
        <w:rPr>
          <w:rFonts w:asciiTheme="minorHAnsi" w:hAnsiTheme="minorHAnsi"/>
          <w:sz w:val="22"/>
          <w:szCs w:val="22"/>
        </w:rPr>
      </w:pPr>
    </w:p>
    <w:p w:rsidR="009B1341" w:rsidRPr="007D7B95" w:rsidRDefault="00690803" w:rsidP="00690803">
      <w:pPr>
        <w:rPr>
          <w:rFonts w:asciiTheme="minorHAnsi" w:hAnsiTheme="minorHAnsi"/>
          <w:b/>
          <w:sz w:val="22"/>
          <w:szCs w:val="22"/>
        </w:rPr>
      </w:pPr>
      <w:r>
        <w:rPr>
          <w:rFonts w:asciiTheme="minorHAnsi" w:hAnsiTheme="minorHAnsi"/>
          <w:b/>
          <w:sz w:val="22"/>
          <w:szCs w:val="22"/>
        </w:rPr>
        <w:t>6.</w:t>
      </w:r>
      <w:r w:rsidR="009B1341" w:rsidRPr="007D7B95">
        <w:rPr>
          <w:rFonts w:asciiTheme="minorHAnsi" w:hAnsiTheme="minorHAnsi"/>
          <w:b/>
          <w:sz w:val="22"/>
          <w:szCs w:val="22"/>
        </w:rPr>
        <w:t xml:space="preserve">Jautājums: </w:t>
      </w:r>
    </w:p>
    <w:p w:rsidR="009B1341" w:rsidRPr="00690803" w:rsidRDefault="009B1341" w:rsidP="00690803">
      <w:pPr>
        <w:jc w:val="both"/>
        <w:rPr>
          <w:rFonts w:asciiTheme="minorHAnsi" w:hAnsiTheme="minorHAnsi"/>
          <w:sz w:val="22"/>
          <w:szCs w:val="22"/>
        </w:rPr>
      </w:pPr>
      <w:r w:rsidRPr="00690803">
        <w:rPr>
          <w:rFonts w:asciiTheme="minorHAnsi" w:hAnsiTheme="minorHAnsi"/>
          <w:sz w:val="22"/>
          <w:szCs w:val="22"/>
        </w:rPr>
        <w:t xml:space="preserve">Vai nosakot uzņēmuma atbilstību grūtības nonākuša uzņēmuma statusam tiks ņemts vērā pieteikumā iesniegtais operatīvais gada pārskats, ja pārskats sagatavots un </w:t>
      </w:r>
      <w:proofErr w:type="spellStart"/>
      <w:r w:rsidRPr="00690803">
        <w:rPr>
          <w:rFonts w:asciiTheme="minorHAnsi" w:hAnsiTheme="minorHAnsi"/>
          <w:sz w:val="22"/>
          <w:szCs w:val="22"/>
        </w:rPr>
        <w:t>attaino</w:t>
      </w:r>
      <w:proofErr w:type="spellEnd"/>
      <w:r w:rsidRPr="00690803">
        <w:rPr>
          <w:rFonts w:asciiTheme="minorHAnsi" w:hAnsiTheme="minorHAnsi"/>
          <w:sz w:val="22"/>
          <w:szCs w:val="22"/>
        </w:rPr>
        <w:t xml:space="preserve"> uzņēmuma situāciju vēlāk kā pēdējais uzņēmuma reģistrā iesniegtais gada pārskats? </w:t>
      </w:r>
    </w:p>
    <w:p w:rsidR="00690803" w:rsidRPr="00690803" w:rsidRDefault="00690803" w:rsidP="00690803">
      <w:pPr>
        <w:jc w:val="both"/>
        <w:rPr>
          <w:rFonts w:asciiTheme="minorHAnsi" w:hAnsiTheme="minorHAnsi"/>
          <w:b/>
          <w:sz w:val="22"/>
          <w:szCs w:val="22"/>
        </w:rPr>
      </w:pPr>
    </w:p>
    <w:p w:rsidR="00E27D4E" w:rsidRPr="00690803" w:rsidRDefault="00DD1E4D" w:rsidP="00690803">
      <w:pPr>
        <w:jc w:val="both"/>
        <w:rPr>
          <w:rFonts w:asciiTheme="minorHAnsi" w:hAnsiTheme="minorHAnsi"/>
          <w:b/>
          <w:sz w:val="22"/>
          <w:szCs w:val="22"/>
        </w:rPr>
      </w:pPr>
      <w:r w:rsidRPr="00690803">
        <w:rPr>
          <w:rFonts w:asciiTheme="minorHAnsi" w:hAnsiTheme="minorHAnsi"/>
          <w:b/>
          <w:sz w:val="22"/>
          <w:szCs w:val="22"/>
        </w:rPr>
        <w:t xml:space="preserve">Atbilde: </w:t>
      </w:r>
    </w:p>
    <w:p w:rsidR="00DD1E4D" w:rsidRPr="00690803" w:rsidRDefault="00DD1E4D" w:rsidP="00690803">
      <w:pPr>
        <w:jc w:val="both"/>
        <w:rPr>
          <w:rFonts w:asciiTheme="minorHAnsi" w:hAnsiTheme="minorHAnsi"/>
          <w:sz w:val="22"/>
          <w:szCs w:val="22"/>
        </w:rPr>
      </w:pPr>
      <w:r w:rsidRPr="00690803">
        <w:rPr>
          <w:rFonts w:asciiTheme="minorHAnsi" w:hAnsiTheme="minorHAnsi"/>
          <w:sz w:val="22"/>
          <w:szCs w:val="22"/>
        </w:rPr>
        <w:t xml:space="preserve">Nē, uzņēmuma operatīvais gada pārskats netiks </w:t>
      </w:r>
      <w:r w:rsidR="004C29BC" w:rsidRPr="00690803">
        <w:rPr>
          <w:rFonts w:asciiTheme="minorHAnsi" w:hAnsiTheme="minorHAnsi"/>
          <w:sz w:val="22"/>
          <w:szCs w:val="22"/>
        </w:rPr>
        <w:t>šajā gadījumā vērtēts</w:t>
      </w:r>
      <w:r w:rsidR="006F00AF" w:rsidRPr="00690803">
        <w:rPr>
          <w:rFonts w:asciiTheme="minorHAnsi" w:hAnsiTheme="minorHAnsi"/>
          <w:sz w:val="22"/>
          <w:szCs w:val="22"/>
        </w:rPr>
        <w:t>,</w:t>
      </w:r>
      <w:r w:rsidR="006F00AF" w:rsidRPr="00690803">
        <w:rPr>
          <w:rFonts w:asciiTheme="minorHAnsi" w:hAnsiTheme="minorHAnsi"/>
          <w:iCs/>
          <w:sz w:val="22"/>
          <w:szCs w:val="22"/>
        </w:rPr>
        <w:t xml:space="preserve"> jo peļņas/zaudējumu rādītāji operatīvajā pārskatā nav auditēti un nevar tikt ņemti vērā.</w:t>
      </w:r>
    </w:p>
    <w:p w:rsidR="009B1341" w:rsidRPr="00690803" w:rsidRDefault="009B1341" w:rsidP="003E56DE">
      <w:pPr>
        <w:jc w:val="both"/>
        <w:rPr>
          <w:rFonts w:asciiTheme="minorHAnsi" w:hAnsiTheme="minorHAnsi"/>
          <w:sz w:val="22"/>
          <w:szCs w:val="22"/>
        </w:rPr>
      </w:pPr>
    </w:p>
    <w:p w:rsidR="009B1341" w:rsidRPr="007D7B95" w:rsidRDefault="00690803" w:rsidP="009B1341">
      <w:pPr>
        <w:pStyle w:val="NoSpacing"/>
        <w:jc w:val="both"/>
        <w:rPr>
          <w:rFonts w:asciiTheme="minorHAnsi" w:hAnsiTheme="minorHAnsi"/>
          <w:b/>
        </w:rPr>
      </w:pPr>
      <w:r>
        <w:rPr>
          <w:rFonts w:asciiTheme="minorHAnsi" w:hAnsiTheme="minorHAnsi"/>
          <w:b/>
        </w:rPr>
        <w:t>7.</w:t>
      </w:r>
      <w:r w:rsidR="009B1341" w:rsidRPr="007D7B95">
        <w:rPr>
          <w:rFonts w:asciiTheme="minorHAnsi" w:hAnsiTheme="minorHAnsi"/>
          <w:b/>
        </w:rPr>
        <w:t>Jautājums.</w:t>
      </w:r>
    </w:p>
    <w:p w:rsidR="009B1341" w:rsidRPr="007D7B95" w:rsidRDefault="009B1341" w:rsidP="009B1341">
      <w:pPr>
        <w:pStyle w:val="NoSpacing"/>
        <w:jc w:val="both"/>
        <w:rPr>
          <w:rFonts w:asciiTheme="minorHAnsi" w:hAnsiTheme="minorHAnsi"/>
        </w:rPr>
      </w:pPr>
      <w:r w:rsidRPr="007D7B95">
        <w:rPr>
          <w:rFonts w:asciiTheme="minorHAnsi" w:hAnsiTheme="minorHAnsi"/>
        </w:rPr>
        <w:t>Par sadarbības iestādē Eiropas Savienībā reģistrētas kredītiestādes izsniegtu pirmā pieprasījuma līguma izpildes garantijas vēstuli 4% vērtībā no pieprasītā publiskā finansējuma pirmajiem 12 projekta īstenošanas mēnešiem.</w:t>
      </w:r>
    </w:p>
    <w:p w:rsidR="009B1341" w:rsidRPr="007D7B95" w:rsidRDefault="009B1341" w:rsidP="009B1341">
      <w:pPr>
        <w:pStyle w:val="NoSpacing"/>
        <w:jc w:val="both"/>
        <w:rPr>
          <w:rFonts w:asciiTheme="minorHAnsi" w:hAnsiTheme="minorHAnsi"/>
        </w:rPr>
      </w:pPr>
    </w:p>
    <w:p w:rsidR="009B1341" w:rsidRPr="007D7B95" w:rsidRDefault="009B1341" w:rsidP="009B1341">
      <w:pPr>
        <w:pStyle w:val="NoSpacing"/>
        <w:jc w:val="both"/>
        <w:rPr>
          <w:rFonts w:asciiTheme="minorHAnsi" w:hAnsiTheme="minorHAnsi"/>
        </w:rPr>
      </w:pPr>
      <w:r w:rsidRPr="007D7B95">
        <w:rPr>
          <w:rFonts w:asciiTheme="minorHAnsi" w:hAnsiTheme="minorHAnsi"/>
        </w:rPr>
        <w:t>Ievērojot to, ka garantijas vēstules saņemšanai kredītiestādes pieprasa ieskaitīt naudas nodrošinājumu par pilnu garantijas summu un samaksu par garantijas izsniegšanu un noformēšanu, kā arī papildus samaksu par garantijas lietošanu, kas rada nelietderīgus izdevumus projekta sadarbības partneriem,</w:t>
      </w:r>
    </w:p>
    <w:p w:rsidR="009B1341" w:rsidRPr="007D7B95" w:rsidRDefault="009B1341" w:rsidP="009B1341">
      <w:pPr>
        <w:pStyle w:val="NoSpacing"/>
        <w:jc w:val="both"/>
        <w:rPr>
          <w:rFonts w:asciiTheme="minorHAnsi" w:hAnsiTheme="minorHAnsi"/>
        </w:rPr>
      </w:pPr>
      <w:r w:rsidRPr="007D7B95">
        <w:rPr>
          <w:rFonts w:asciiTheme="minorHAnsi" w:hAnsiTheme="minorHAnsi"/>
        </w:rPr>
        <w:t>vai CFLA var piedāvāt alternatīvu iespēju kompetences centram noteiktās garantijas sniegšanai bez kredītiestādes starpniecības, naudas līdzekļus garantijas apmērā pirmajiem 12 projekta īstenošanas mēnešiem ieskaitot CFLA administrētā kontā?</w:t>
      </w:r>
    </w:p>
    <w:p w:rsidR="009B1341" w:rsidRPr="007D7B95" w:rsidRDefault="009B1341" w:rsidP="009B1341">
      <w:pPr>
        <w:pStyle w:val="NoSpacing"/>
        <w:jc w:val="both"/>
        <w:rPr>
          <w:rFonts w:asciiTheme="minorHAnsi" w:hAnsiTheme="minorHAnsi"/>
          <w:color w:val="FF0000"/>
        </w:rPr>
      </w:pPr>
    </w:p>
    <w:p w:rsidR="00DD1E4D" w:rsidRPr="007D7B95" w:rsidRDefault="00DD1E4D" w:rsidP="009B1341">
      <w:pPr>
        <w:pStyle w:val="NoSpacing"/>
        <w:jc w:val="both"/>
        <w:rPr>
          <w:rFonts w:asciiTheme="minorHAnsi" w:hAnsiTheme="minorHAnsi"/>
          <w:b/>
        </w:rPr>
      </w:pPr>
      <w:r w:rsidRPr="007D7B95">
        <w:rPr>
          <w:rFonts w:asciiTheme="minorHAnsi" w:hAnsiTheme="minorHAnsi"/>
          <w:b/>
        </w:rPr>
        <w:t xml:space="preserve">Atbilde: </w:t>
      </w:r>
    </w:p>
    <w:p w:rsidR="009B1341" w:rsidRPr="007D7B95" w:rsidRDefault="009B1341" w:rsidP="003E56DE">
      <w:pPr>
        <w:jc w:val="both"/>
        <w:rPr>
          <w:rFonts w:asciiTheme="minorHAnsi" w:hAnsiTheme="minorHAnsi"/>
          <w:sz w:val="22"/>
          <w:szCs w:val="22"/>
        </w:rPr>
      </w:pPr>
    </w:p>
    <w:p w:rsidR="00DD1E4D" w:rsidRPr="007D7B95" w:rsidRDefault="00DA2590" w:rsidP="003E56DE">
      <w:pPr>
        <w:jc w:val="both"/>
        <w:rPr>
          <w:rFonts w:asciiTheme="minorHAnsi" w:hAnsiTheme="minorHAnsi"/>
          <w:sz w:val="22"/>
          <w:szCs w:val="22"/>
        </w:rPr>
      </w:pPr>
      <w:r w:rsidRPr="007D7B95">
        <w:rPr>
          <w:rFonts w:asciiTheme="minorHAnsi" w:hAnsiTheme="minorHAnsi"/>
          <w:sz w:val="22"/>
          <w:szCs w:val="22"/>
        </w:rPr>
        <w:t xml:space="preserve">Saskaņā ar Projektu iesniegumu vērtēšana kritēriju piemērošanas metodiku 3.1.apakškritērijā var piešķirt papildus punktus, ka tiek iesniegta </w:t>
      </w:r>
      <w:r w:rsidRPr="007D7B95">
        <w:rPr>
          <w:rFonts w:asciiTheme="minorHAnsi" w:eastAsia="ヒラギノ角ゴ Pro W3" w:hAnsiTheme="minorHAnsi"/>
          <w:sz w:val="22"/>
          <w:szCs w:val="22"/>
        </w:rPr>
        <w:t>Eiropas Savienībā reģistrētas kredītiestādes izsniegtu pirmā pieprasījuma līguma izpildes garantijas vēstuli 4% vērtībā no pieprasītā publiskā finansējuma pirmajiem 12 projekta īstenošanas mēnešiem un ir izstrādāta konkrēta plānoto pētījumu programma,  kā arī ir zināmi sadarbības partneri</w:t>
      </w:r>
      <w:r w:rsidRPr="007D7B95">
        <w:rPr>
          <w:rFonts w:asciiTheme="minorHAnsi" w:hAnsiTheme="minorHAnsi"/>
          <w:sz w:val="22"/>
          <w:szCs w:val="22"/>
        </w:rPr>
        <w:t>.</w:t>
      </w:r>
    </w:p>
    <w:p w:rsidR="00DD1E4D" w:rsidRPr="007D7B95" w:rsidRDefault="00DD1E4D" w:rsidP="003E56DE">
      <w:pPr>
        <w:jc w:val="both"/>
        <w:rPr>
          <w:rFonts w:asciiTheme="minorHAnsi" w:hAnsiTheme="minorHAnsi"/>
          <w:sz w:val="22"/>
          <w:szCs w:val="22"/>
        </w:rPr>
      </w:pPr>
    </w:p>
    <w:p w:rsidR="004440B7" w:rsidRPr="007D7B95" w:rsidRDefault="00690803" w:rsidP="003E56DE">
      <w:pPr>
        <w:jc w:val="both"/>
        <w:rPr>
          <w:rFonts w:asciiTheme="minorHAnsi" w:hAnsiTheme="minorHAnsi"/>
          <w:b/>
          <w:sz w:val="22"/>
          <w:szCs w:val="22"/>
        </w:rPr>
      </w:pPr>
      <w:r>
        <w:rPr>
          <w:rFonts w:asciiTheme="minorHAnsi" w:hAnsiTheme="minorHAnsi"/>
          <w:b/>
          <w:sz w:val="22"/>
          <w:szCs w:val="22"/>
        </w:rPr>
        <w:t>8.</w:t>
      </w:r>
      <w:r w:rsidR="005E2858" w:rsidRPr="007D7B95">
        <w:rPr>
          <w:rFonts w:asciiTheme="minorHAnsi" w:hAnsiTheme="minorHAnsi"/>
          <w:b/>
          <w:sz w:val="22"/>
          <w:szCs w:val="22"/>
        </w:rPr>
        <w:t>Jautājums:</w:t>
      </w:r>
    </w:p>
    <w:p w:rsidR="005E2858" w:rsidRPr="007D7B95" w:rsidRDefault="005E2858" w:rsidP="003E56DE">
      <w:pPr>
        <w:jc w:val="both"/>
        <w:rPr>
          <w:rFonts w:asciiTheme="minorHAnsi" w:hAnsiTheme="minorHAnsi"/>
          <w:sz w:val="22"/>
          <w:szCs w:val="22"/>
        </w:rPr>
      </w:pPr>
    </w:p>
    <w:p w:rsidR="005E2858" w:rsidRPr="00690803" w:rsidRDefault="005E2858" w:rsidP="00690803">
      <w:pPr>
        <w:jc w:val="both"/>
        <w:rPr>
          <w:rFonts w:asciiTheme="minorHAnsi" w:hAnsiTheme="minorHAnsi"/>
          <w:sz w:val="22"/>
          <w:szCs w:val="22"/>
        </w:rPr>
      </w:pPr>
      <w:r w:rsidRPr="00690803">
        <w:rPr>
          <w:rFonts w:asciiTheme="minorHAnsi" w:hAnsiTheme="minorHAnsi"/>
          <w:sz w:val="22"/>
          <w:szCs w:val="22"/>
        </w:rPr>
        <w:t>Vai kopējās kompetences centra maksimāli attiecināmās personāla izmaksas atbilstoši MK noteikumiem gadā drīkst būt 24426 EUR + 0,64%? </w:t>
      </w:r>
    </w:p>
    <w:p w:rsidR="007D7B95" w:rsidRPr="00690803" w:rsidRDefault="007D7B95" w:rsidP="005E2858">
      <w:pPr>
        <w:ind w:left="360"/>
        <w:rPr>
          <w:rFonts w:asciiTheme="minorHAnsi" w:hAnsiTheme="minorHAnsi"/>
          <w:b/>
          <w:sz w:val="22"/>
          <w:szCs w:val="22"/>
        </w:rPr>
      </w:pPr>
    </w:p>
    <w:p w:rsidR="005E2858" w:rsidRPr="007D7B95" w:rsidRDefault="005E2858" w:rsidP="005E2858">
      <w:pPr>
        <w:ind w:left="360"/>
        <w:rPr>
          <w:rFonts w:asciiTheme="minorHAnsi" w:hAnsiTheme="minorHAnsi"/>
          <w:b/>
          <w:sz w:val="22"/>
          <w:szCs w:val="22"/>
        </w:rPr>
      </w:pPr>
      <w:r w:rsidRPr="007D7B95">
        <w:rPr>
          <w:rFonts w:asciiTheme="minorHAnsi" w:hAnsiTheme="minorHAnsi"/>
          <w:b/>
          <w:sz w:val="22"/>
          <w:szCs w:val="22"/>
        </w:rPr>
        <w:t xml:space="preserve">Atbilde: </w:t>
      </w:r>
    </w:p>
    <w:p w:rsidR="00DD1E4D" w:rsidRPr="007D7B95" w:rsidRDefault="00DD1E4D" w:rsidP="00DD1E4D">
      <w:pPr>
        <w:spacing w:after="120"/>
        <w:ind w:firstLine="709"/>
        <w:jc w:val="both"/>
        <w:rPr>
          <w:rFonts w:asciiTheme="minorHAnsi" w:hAnsiTheme="minorHAnsi"/>
          <w:sz w:val="22"/>
          <w:szCs w:val="22"/>
        </w:rPr>
      </w:pPr>
      <w:r w:rsidRPr="007D7B95">
        <w:rPr>
          <w:rFonts w:asciiTheme="minorHAnsi" w:hAnsiTheme="minorHAnsi"/>
          <w:sz w:val="22"/>
          <w:szCs w:val="22"/>
        </w:rPr>
        <w:t xml:space="preserve">Skaidrojam, ka MK noteikumu Nr.2  29.punktā noteikts limits par projekta vadības izmaksām, kuras nevar pārsniegt summu, ko aprēķina, pie 24 426 </w:t>
      </w:r>
      <w:proofErr w:type="spellStart"/>
      <w:r w:rsidRPr="007D7B95">
        <w:rPr>
          <w:rFonts w:asciiTheme="minorHAnsi" w:hAnsiTheme="minorHAnsi"/>
          <w:i/>
          <w:iCs/>
          <w:sz w:val="22"/>
          <w:szCs w:val="22"/>
        </w:rPr>
        <w:t>euro</w:t>
      </w:r>
      <w:proofErr w:type="spellEnd"/>
      <w:r w:rsidRPr="007D7B95">
        <w:rPr>
          <w:rFonts w:asciiTheme="minorHAnsi" w:hAnsiTheme="minorHAnsi"/>
          <w:i/>
          <w:iCs/>
          <w:sz w:val="22"/>
          <w:szCs w:val="22"/>
        </w:rPr>
        <w:t xml:space="preserve"> </w:t>
      </w:r>
      <w:r w:rsidRPr="007D7B95">
        <w:rPr>
          <w:rFonts w:asciiTheme="minorHAnsi" w:hAnsiTheme="minorHAnsi"/>
          <w:sz w:val="22"/>
          <w:szCs w:val="22"/>
        </w:rPr>
        <w:t xml:space="preserve">pieskaitot 0,64% </w:t>
      </w:r>
      <w:r w:rsidRPr="007D7B95">
        <w:rPr>
          <w:rFonts w:asciiTheme="minorHAnsi" w:hAnsiTheme="minorHAnsi"/>
          <w:b/>
          <w:sz w:val="22"/>
          <w:szCs w:val="22"/>
          <w:u w:val="single"/>
        </w:rPr>
        <w:t>no projekta kopējām tiešajām attiecināmajām izmaksām</w:t>
      </w:r>
      <w:r w:rsidRPr="007D7B95">
        <w:rPr>
          <w:rFonts w:asciiTheme="minorHAnsi" w:hAnsiTheme="minorHAnsi"/>
          <w:sz w:val="22"/>
          <w:szCs w:val="22"/>
        </w:rPr>
        <w:t xml:space="preserve">, neieskaitot tiešās projekta vadības personāla izmaksas, un ir </w:t>
      </w:r>
      <w:r w:rsidRPr="007D7B95">
        <w:rPr>
          <w:rFonts w:asciiTheme="minorHAnsi" w:hAnsiTheme="minorHAnsi"/>
          <w:b/>
          <w:sz w:val="22"/>
          <w:szCs w:val="22"/>
        </w:rPr>
        <w:t>attiecināms uz katru CFLA iesniegto projekta iesniegumu atsevišķi</w:t>
      </w:r>
      <w:r w:rsidRPr="007D7B95">
        <w:rPr>
          <w:rFonts w:asciiTheme="minorHAnsi" w:hAnsiTheme="minorHAnsi"/>
          <w:sz w:val="22"/>
          <w:szCs w:val="22"/>
        </w:rPr>
        <w:t xml:space="preserve">. Turklāt KC projekta vadības limitam aptverot arī tā pētniecības projektu vadības personāla izmaksas (MK noteikumu 30.1.4.1.apakšpunkts). Tātad noteiktais limits ir uz visu KC projektu, iekļaujot gan KC vadības personāla izmaksas, gan pētījumu projektu vadības personāla izmaksas (MK noteikumu 30.1.2.2. apakšpunkts + 30.1.4.1.apakšpunkts). Sīkāku skaidrojumu par projekta vadības izmaksu aprēķināšanu lūdzu skatīt CFLA mājas lapā </w:t>
      </w:r>
      <w:hyperlink r:id="rId7" w:history="1">
        <w:r w:rsidRPr="007D7B95">
          <w:rPr>
            <w:rStyle w:val="Hyperlink"/>
            <w:rFonts w:asciiTheme="minorHAnsi" w:hAnsiTheme="minorHAnsi"/>
            <w:color w:val="auto"/>
            <w:sz w:val="22"/>
            <w:szCs w:val="22"/>
          </w:rPr>
          <w:t>http://www.cfla.gov.lv/lv/es-fondi-2014-2020/izsludinatas-atlases/1-2-1-1-atbalsts-jaunu-produktu-un-tehnologiju-izstradei-kompetences-centru-ietvaros-2-karta</w:t>
        </w:r>
      </w:hyperlink>
      <w:r w:rsidRPr="007D7B95">
        <w:rPr>
          <w:rFonts w:asciiTheme="minorHAnsi" w:hAnsiTheme="minorHAnsi"/>
          <w:sz w:val="22"/>
          <w:szCs w:val="22"/>
        </w:rPr>
        <w:t xml:space="preserve"> failā “Skaidrojums par projekta vadības izmaksu limitu”.</w:t>
      </w:r>
    </w:p>
    <w:p w:rsidR="00DD1E4D" w:rsidRDefault="00DD1E4D" w:rsidP="005E2858">
      <w:pPr>
        <w:ind w:left="360"/>
        <w:rPr>
          <w:rFonts w:asciiTheme="minorHAnsi" w:hAnsiTheme="minorHAnsi"/>
          <w:sz w:val="22"/>
          <w:szCs w:val="22"/>
        </w:rPr>
      </w:pPr>
    </w:p>
    <w:p w:rsidR="005E2858" w:rsidRPr="00690803" w:rsidRDefault="00690803" w:rsidP="00690803">
      <w:pPr>
        <w:jc w:val="both"/>
        <w:rPr>
          <w:rFonts w:asciiTheme="minorHAnsi" w:hAnsiTheme="minorHAnsi"/>
          <w:b/>
          <w:sz w:val="22"/>
          <w:szCs w:val="22"/>
        </w:rPr>
      </w:pPr>
      <w:r w:rsidRPr="00690803">
        <w:rPr>
          <w:rFonts w:asciiTheme="minorHAnsi" w:hAnsiTheme="minorHAnsi"/>
          <w:b/>
          <w:sz w:val="22"/>
          <w:szCs w:val="22"/>
        </w:rPr>
        <w:t>9.Jautājums</w:t>
      </w:r>
      <w:r>
        <w:rPr>
          <w:rFonts w:asciiTheme="minorHAnsi" w:hAnsiTheme="minorHAnsi"/>
          <w:b/>
          <w:sz w:val="22"/>
          <w:szCs w:val="22"/>
        </w:rPr>
        <w:t xml:space="preserve">: </w:t>
      </w:r>
      <w:r w:rsidR="005E2858" w:rsidRPr="00690803">
        <w:rPr>
          <w:rFonts w:asciiTheme="minorHAnsi" w:hAnsiTheme="minorHAnsi"/>
          <w:sz w:val="22"/>
          <w:szCs w:val="22"/>
        </w:rPr>
        <w:t>Kā tiek aprēķināti šie 0,64% piemēram kompetences centra pirmajā darbības gadā, kad ES fondu apguve ir salīdzinoši neliela? Vai šī summa tiek aprēķināta no faktiskajiem datiem katrā konkrētajā mēnesī vai tomēr tie tiek rēķināti no kopējām attiecināmajām izmaksām kompetences centra darbībai otrajā kārtā. </w:t>
      </w:r>
    </w:p>
    <w:p w:rsidR="007D7B95" w:rsidRDefault="007D7B95" w:rsidP="005E2858">
      <w:pPr>
        <w:ind w:left="360"/>
        <w:rPr>
          <w:rFonts w:asciiTheme="minorHAnsi" w:hAnsiTheme="minorHAnsi"/>
          <w:b/>
          <w:sz w:val="22"/>
          <w:szCs w:val="22"/>
        </w:rPr>
      </w:pPr>
    </w:p>
    <w:p w:rsidR="005E2858" w:rsidRPr="00690803" w:rsidRDefault="005E2858" w:rsidP="00690803">
      <w:pPr>
        <w:ind w:left="360"/>
        <w:jc w:val="both"/>
        <w:rPr>
          <w:rFonts w:asciiTheme="minorHAnsi" w:hAnsiTheme="minorHAnsi"/>
          <w:sz w:val="22"/>
          <w:szCs w:val="22"/>
        </w:rPr>
      </w:pPr>
      <w:r w:rsidRPr="007D7B95">
        <w:rPr>
          <w:rFonts w:asciiTheme="minorHAnsi" w:hAnsiTheme="minorHAnsi"/>
          <w:b/>
          <w:sz w:val="22"/>
          <w:szCs w:val="22"/>
        </w:rPr>
        <w:t xml:space="preserve">Atbilde: </w:t>
      </w:r>
      <w:r w:rsidRPr="00690803">
        <w:rPr>
          <w:rFonts w:asciiTheme="minorHAnsi" w:hAnsiTheme="minorHAnsi"/>
          <w:sz w:val="22"/>
          <w:szCs w:val="22"/>
        </w:rPr>
        <w:t>0,64% ir nemainīgs koeficients, kas  tiek piemērots maksimālās KC un sadarbības partneru projektu vadības robežlieluma aprēķināšanai.</w:t>
      </w:r>
    </w:p>
    <w:p w:rsidR="005E2858" w:rsidRPr="00690803" w:rsidRDefault="005E2858" w:rsidP="005E2858">
      <w:pPr>
        <w:ind w:left="360"/>
        <w:rPr>
          <w:rFonts w:asciiTheme="minorHAnsi" w:hAnsiTheme="minorHAnsi"/>
          <w:sz w:val="22"/>
          <w:szCs w:val="22"/>
        </w:rPr>
      </w:pPr>
    </w:p>
    <w:p w:rsidR="005E2858" w:rsidRPr="00690803" w:rsidRDefault="00690803" w:rsidP="00690803">
      <w:pPr>
        <w:jc w:val="both"/>
        <w:rPr>
          <w:rFonts w:asciiTheme="minorHAnsi" w:hAnsiTheme="minorHAnsi"/>
          <w:b/>
          <w:sz w:val="22"/>
          <w:szCs w:val="22"/>
        </w:rPr>
      </w:pPr>
      <w:r>
        <w:rPr>
          <w:rFonts w:asciiTheme="minorHAnsi" w:hAnsiTheme="minorHAnsi"/>
          <w:b/>
          <w:sz w:val="22"/>
          <w:szCs w:val="22"/>
        </w:rPr>
        <w:t>10</w:t>
      </w:r>
      <w:r w:rsidRPr="00690803">
        <w:rPr>
          <w:rFonts w:asciiTheme="minorHAnsi" w:hAnsiTheme="minorHAnsi"/>
          <w:b/>
          <w:sz w:val="22"/>
          <w:szCs w:val="22"/>
        </w:rPr>
        <w:t>.Jautājums</w:t>
      </w:r>
      <w:r>
        <w:rPr>
          <w:rFonts w:asciiTheme="minorHAnsi" w:hAnsiTheme="minorHAnsi"/>
          <w:b/>
          <w:sz w:val="22"/>
          <w:szCs w:val="22"/>
        </w:rPr>
        <w:t>:</w:t>
      </w:r>
      <w:r w:rsidR="005E2858" w:rsidRPr="007D7B95">
        <w:rPr>
          <w:rFonts w:asciiTheme="minorHAnsi" w:hAnsiTheme="minorHAnsi"/>
          <w:sz w:val="22"/>
          <w:szCs w:val="22"/>
        </w:rPr>
        <w:t xml:space="preserve"> Vai maksimālais finansējuma apjoms 200 000 EUR (trijos gados) ir paredzēts kompetences centra darbības nodrošināšanai tai skaitā #1 aprakstītās personāla izmaksas vai tomēr tās summējas?  </w:t>
      </w:r>
    </w:p>
    <w:p w:rsidR="005E2858" w:rsidRPr="007D7B95" w:rsidRDefault="005E2858" w:rsidP="005E2858">
      <w:pPr>
        <w:rPr>
          <w:rFonts w:asciiTheme="minorHAnsi" w:hAnsiTheme="minorHAnsi"/>
          <w:sz w:val="22"/>
          <w:szCs w:val="22"/>
        </w:rPr>
      </w:pPr>
    </w:p>
    <w:p w:rsidR="005E2858" w:rsidRPr="007D7B95" w:rsidRDefault="005E2858" w:rsidP="00690803">
      <w:pPr>
        <w:jc w:val="both"/>
        <w:rPr>
          <w:rFonts w:asciiTheme="minorHAnsi" w:hAnsiTheme="minorHAnsi"/>
          <w:b/>
          <w:sz w:val="22"/>
          <w:szCs w:val="22"/>
        </w:rPr>
      </w:pPr>
      <w:r w:rsidRPr="007D7B95">
        <w:rPr>
          <w:rFonts w:asciiTheme="minorHAnsi" w:hAnsiTheme="minorHAnsi"/>
          <w:b/>
          <w:sz w:val="22"/>
          <w:szCs w:val="22"/>
        </w:rPr>
        <w:t xml:space="preserve">Atbilde: </w:t>
      </w:r>
    </w:p>
    <w:p w:rsidR="005E2858" w:rsidRPr="007D7B95" w:rsidRDefault="005E2858" w:rsidP="003E56DE">
      <w:pPr>
        <w:jc w:val="both"/>
        <w:rPr>
          <w:rFonts w:asciiTheme="minorHAnsi" w:hAnsiTheme="minorHAnsi"/>
          <w:sz w:val="22"/>
          <w:szCs w:val="22"/>
        </w:rPr>
      </w:pPr>
      <w:r w:rsidRPr="007D7B95">
        <w:rPr>
          <w:rFonts w:asciiTheme="minorHAnsi" w:hAnsiTheme="minorHAnsi"/>
          <w:sz w:val="22"/>
          <w:szCs w:val="22"/>
        </w:rPr>
        <w:t xml:space="preserve">Maksimālais finansējuma apjoms 200 000 EUR triju gadu periodā ir maksimālais </w:t>
      </w:r>
      <w:proofErr w:type="spellStart"/>
      <w:r w:rsidRPr="007D7B95">
        <w:rPr>
          <w:rFonts w:asciiTheme="minorHAnsi" w:hAnsiTheme="minorHAnsi"/>
          <w:i/>
          <w:sz w:val="22"/>
          <w:szCs w:val="22"/>
        </w:rPr>
        <w:t>de</w:t>
      </w:r>
      <w:proofErr w:type="spellEnd"/>
      <w:r w:rsidRPr="007D7B95">
        <w:rPr>
          <w:rFonts w:asciiTheme="minorHAnsi" w:hAnsiTheme="minorHAnsi"/>
          <w:i/>
          <w:sz w:val="22"/>
          <w:szCs w:val="22"/>
        </w:rPr>
        <w:t xml:space="preserve"> </w:t>
      </w:r>
      <w:proofErr w:type="spellStart"/>
      <w:r w:rsidRPr="007D7B95">
        <w:rPr>
          <w:rFonts w:asciiTheme="minorHAnsi" w:hAnsiTheme="minorHAnsi"/>
          <w:i/>
          <w:sz w:val="22"/>
          <w:szCs w:val="22"/>
        </w:rPr>
        <w:t>minimis</w:t>
      </w:r>
      <w:proofErr w:type="spellEnd"/>
      <w:r w:rsidRPr="007D7B95">
        <w:rPr>
          <w:rFonts w:asciiTheme="minorHAnsi" w:hAnsiTheme="minorHAnsi"/>
          <w:i/>
          <w:sz w:val="22"/>
          <w:szCs w:val="22"/>
        </w:rPr>
        <w:t xml:space="preserve"> </w:t>
      </w:r>
      <w:r w:rsidRPr="007D7B95">
        <w:rPr>
          <w:rFonts w:asciiTheme="minorHAnsi" w:hAnsiTheme="minorHAnsi"/>
          <w:sz w:val="22"/>
          <w:szCs w:val="22"/>
        </w:rPr>
        <w:t xml:space="preserve">apjoms, ko kompetences centrs kā viens vienots uzņēmums var saņemt saskaņā ar regulu Nr.1407/2013. </w:t>
      </w:r>
    </w:p>
    <w:p w:rsidR="005E2858" w:rsidRDefault="005E2858" w:rsidP="003E56DE">
      <w:pPr>
        <w:jc w:val="both"/>
        <w:rPr>
          <w:rFonts w:asciiTheme="minorHAnsi" w:hAnsiTheme="minorHAnsi"/>
          <w:sz w:val="22"/>
          <w:szCs w:val="22"/>
        </w:rPr>
      </w:pPr>
    </w:p>
    <w:p w:rsidR="00B56FB8" w:rsidRPr="00B56FB8" w:rsidRDefault="00B56FB8" w:rsidP="003E56DE">
      <w:pPr>
        <w:jc w:val="both"/>
        <w:rPr>
          <w:rFonts w:asciiTheme="minorHAnsi" w:eastAsia="Times New Roman" w:hAnsiTheme="minorHAnsi"/>
          <w:b/>
          <w:sz w:val="22"/>
          <w:szCs w:val="22"/>
        </w:rPr>
      </w:pPr>
      <w:r w:rsidRPr="00B56FB8">
        <w:rPr>
          <w:rFonts w:asciiTheme="minorHAnsi" w:eastAsia="Times New Roman" w:hAnsiTheme="minorHAnsi"/>
          <w:b/>
          <w:sz w:val="22"/>
          <w:szCs w:val="22"/>
        </w:rPr>
        <w:t xml:space="preserve">11.Jautājums: </w:t>
      </w:r>
    </w:p>
    <w:p w:rsidR="00B56FB8" w:rsidRPr="00B56FB8" w:rsidRDefault="00B56FB8" w:rsidP="003E56DE">
      <w:pPr>
        <w:jc w:val="both"/>
        <w:rPr>
          <w:rFonts w:asciiTheme="minorHAnsi" w:eastAsia="Times New Roman" w:hAnsiTheme="minorHAnsi"/>
          <w:sz w:val="22"/>
          <w:szCs w:val="22"/>
        </w:rPr>
      </w:pPr>
      <w:r w:rsidRPr="00B56FB8">
        <w:rPr>
          <w:rFonts w:asciiTheme="minorHAnsi" w:eastAsia="Times New Roman" w:hAnsiTheme="minorHAnsi"/>
          <w:sz w:val="22"/>
          <w:szCs w:val="22"/>
        </w:rPr>
        <w:t>Vai operatīvā bilance tiks ņemta vērā, ja par to atzinumu būs sniedzis revidents?</w:t>
      </w:r>
    </w:p>
    <w:p w:rsidR="00B56FB8" w:rsidRPr="00B56FB8" w:rsidRDefault="00B56FB8" w:rsidP="003E56DE">
      <w:pPr>
        <w:jc w:val="both"/>
        <w:rPr>
          <w:rFonts w:asciiTheme="minorHAnsi" w:eastAsia="Times New Roman" w:hAnsiTheme="minorHAnsi"/>
          <w:sz w:val="22"/>
          <w:szCs w:val="22"/>
        </w:rPr>
      </w:pPr>
    </w:p>
    <w:p w:rsidR="00B56FB8" w:rsidRPr="00B56FB8" w:rsidRDefault="00B56FB8" w:rsidP="00B56FB8">
      <w:pPr>
        <w:rPr>
          <w:rFonts w:asciiTheme="minorHAnsi" w:hAnsiTheme="minorHAnsi"/>
          <w:sz w:val="22"/>
          <w:szCs w:val="22"/>
        </w:rPr>
      </w:pPr>
      <w:r w:rsidRPr="00B56FB8">
        <w:rPr>
          <w:rFonts w:asciiTheme="minorHAnsi" w:eastAsia="Times New Roman" w:hAnsiTheme="minorHAnsi"/>
          <w:b/>
          <w:sz w:val="22"/>
          <w:szCs w:val="22"/>
        </w:rPr>
        <w:t>Atbilde:</w:t>
      </w:r>
      <w:r w:rsidRPr="00B56FB8">
        <w:rPr>
          <w:rFonts w:asciiTheme="minorHAnsi" w:eastAsia="Times New Roman" w:hAnsiTheme="minorHAnsi"/>
          <w:sz w:val="22"/>
          <w:szCs w:val="22"/>
        </w:rPr>
        <w:t xml:space="preserve"> </w:t>
      </w:r>
      <w:r w:rsidRPr="00B56FB8">
        <w:rPr>
          <w:rFonts w:asciiTheme="minorHAnsi" w:hAnsiTheme="minorHAnsi"/>
          <w:sz w:val="22"/>
          <w:szCs w:val="22"/>
        </w:rPr>
        <w:t>Jā, operatīvais pārskats tiks ņemts vērā, ja par to būs sniegts revidenta atzinums.</w:t>
      </w:r>
    </w:p>
    <w:p w:rsidR="00B56FB8" w:rsidRDefault="00B56FB8" w:rsidP="00B56FB8">
      <w:pPr>
        <w:rPr>
          <w:color w:val="1F497D"/>
        </w:rPr>
      </w:pPr>
    </w:p>
    <w:p w:rsidR="00B56FB8" w:rsidRPr="007D7B95" w:rsidRDefault="00B56FB8" w:rsidP="003E56DE">
      <w:pPr>
        <w:jc w:val="both"/>
        <w:rPr>
          <w:rFonts w:asciiTheme="minorHAnsi" w:hAnsiTheme="minorHAnsi"/>
          <w:sz w:val="22"/>
          <w:szCs w:val="22"/>
        </w:rPr>
      </w:pPr>
    </w:p>
    <w:p w:rsidR="003E56DE" w:rsidRPr="007D7B95" w:rsidRDefault="003E56DE" w:rsidP="00690803">
      <w:pPr>
        <w:jc w:val="center"/>
        <w:rPr>
          <w:rFonts w:asciiTheme="minorHAnsi" w:hAnsiTheme="minorHAnsi" w:cs="Arial"/>
          <w:sz w:val="18"/>
          <w:szCs w:val="18"/>
        </w:rPr>
      </w:pPr>
      <w:r w:rsidRPr="007D7B95">
        <w:rPr>
          <w:rFonts w:asciiTheme="minorHAnsi" w:hAnsiTheme="minorHAnsi"/>
          <w:b/>
          <w:u w:val="single"/>
        </w:rPr>
        <w:t xml:space="preserve">Projektu īstenošanas (izmaksu </w:t>
      </w:r>
      <w:proofErr w:type="spellStart"/>
      <w:r w:rsidRPr="007D7B95">
        <w:rPr>
          <w:rFonts w:asciiTheme="minorHAnsi" w:hAnsiTheme="minorHAnsi"/>
          <w:b/>
          <w:u w:val="single"/>
        </w:rPr>
        <w:t>attiecināmības</w:t>
      </w:r>
      <w:proofErr w:type="spellEnd"/>
      <w:r w:rsidRPr="007D7B95">
        <w:rPr>
          <w:rFonts w:asciiTheme="minorHAnsi" w:hAnsiTheme="minorHAnsi"/>
          <w:b/>
          <w:u w:val="single"/>
        </w:rPr>
        <w:t>) jautājumi</w:t>
      </w:r>
    </w:p>
    <w:p w:rsidR="003E56DE" w:rsidRPr="007D7B95" w:rsidRDefault="003E56DE" w:rsidP="003E56DE">
      <w:pPr>
        <w:rPr>
          <w:rFonts w:asciiTheme="minorHAnsi" w:hAnsiTheme="minorHAnsi" w:cs="Arial"/>
          <w:sz w:val="18"/>
          <w:szCs w:val="18"/>
        </w:rPr>
      </w:pPr>
    </w:p>
    <w:p w:rsidR="00690803" w:rsidRPr="00690803" w:rsidRDefault="00B56FB8" w:rsidP="007D7B95">
      <w:pPr>
        <w:pStyle w:val="PlainText"/>
        <w:jc w:val="both"/>
        <w:rPr>
          <w:rFonts w:asciiTheme="minorHAnsi" w:hAnsiTheme="minorHAnsi"/>
          <w:b/>
          <w:szCs w:val="22"/>
        </w:rPr>
      </w:pPr>
      <w:r>
        <w:rPr>
          <w:rFonts w:asciiTheme="minorHAnsi" w:hAnsiTheme="minorHAnsi"/>
          <w:b/>
          <w:szCs w:val="22"/>
        </w:rPr>
        <w:t>12</w:t>
      </w:r>
      <w:r w:rsidR="00690803">
        <w:rPr>
          <w:rFonts w:asciiTheme="minorHAnsi" w:hAnsiTheme="minorHAnsi"/>
          <w:b/>
          <w:szCs w:val="22"/>
        </w:rPr>
        <w:t>.</w:t>
      </w:r>
      <w:r w:rsidR="00690803" w:rsidRPr="00690803">
        <w:rPr>
          <w:rFonts w:asciiTheme="minorHAnsi" w:hAnsiTheme="minorHAnsi"/>
          <w:b/>
          <w:szCs w:val="22"/>
        </w:rPr>
        <w:t>Jautājums:</w:t>
      </w:r>
    </w:p>
    <w:p w:rsidR="003E56DE" w:rsidRPr="007D7B95" w:rsidRDefault="003E56DE" w:rsidP="007D7B95">
      <w:pPr>
        <w:pStyle w:val="PlainText"/>
        <w:jc w:val="both"/>
        <w:rPr>
          <w:rFonts w:asciiTheme="minorHAnsi" w:hAnsiTheme="minorHAnsi"/>
          <w:szCs w:val="22"/>
        </w:rPr>
      </w:pPr>
      <w:r w:rsidRPr="007D7B95">
        <w:rPr>
          <w:rFonts w:asciiTheme="minorHAnsi" w:hAnsiTheme="minorHAnsi"/>
          <w:szCs w:val="22"/>
        </w:rPr>
        <w:t>Valsts zinātniskais institūts Elektronikas un datorzinātņu institūts pēc sava juridiskā statusa ir atvasināta publiska persona, pēc savas darbības atbilst pētniecības organizācijai Eiropas Komisijas 2014. gada 17. jūnija Regulu (ES) Nr. 651/2014 izpratnē.</w:t>
      </w:r>
    </w:p>
    <w:p w:rsidR="003E56DE" w:rsidRPr="007D7B95" w:rsidRDefault="003E56DE" w:rsidP="007D7B95">
      <w:pPr>
        <w:pStyle w:val="PlainText"/>
        <w:jc w:val="both"/>
        <w:rPr>
          <w:rFonts w:asciiTheme="minorHAnsi" w:hAnsiTheme="minorHAnsi"/>
          <w:szCs w:val="22"/>
        </w:rPr>
      </w:pPr>
      <w:r w:rsidRPr="007D7B95">
        <w:rPr>
          <w:rFonts w:asciiTheme="minorHAnsi" w:hAnsiTheme="minorHAnsi"/>
          <w:szCs w:val="22"/>
        </w:rPr>
        <w:lastRenderedPageBreak/>
        <w:t xml:space="preserve">Saskaņā ar 2016. gada 5. janvāra Ministru kabineta noteikumiem Nr.2 "Darbības programmas "Izaugsme un nodarbinātība" 1.2.1. specifiskā atbalsta mērķa "Palielināt privātā sektora investīcijas P&amp;A" 1.2.1.1. </w:t>
      </w:r>
    </w:p>
    <w:p w:rsidR="003E56DE" w:rsidRPr="007D7B95" w:rsidRDefault="003E56DE" w:rsidP="007D7B95">
      <w:pPr>
        <w:pStyle w:val="PlainText"/>
        <w:jc w:val="both"/>
        <w:rPr>
          <w:rFonts w:asciiTheme="minorHAnsi" w:hAnsiTheme="minorHAnsi"/>
          <w:szCs w:val="22"/>
        </w:rPr>
      </w:pPr>
      <w:r w:rsidRPr="007D7B95">
        <w:rPr>
          <w:rFonts w:asciiTheme="minorHAnsi" w:hAnsiTheme="minorHAnsi"/>
          <w:szCs w:val="22"/>
        </w:rPr>
        <w:t>pasākuma "Atbalsts jaunu produktu un tehnoloģiju izstrādei kompetences centru ietvaros" pirmās, otrās un ceturtās projektu iesniegumu atlases kārtas īstenošanas noteikumi", mēs varam iesaistīties kompetences centra pētniecības projektos kā to īstenotāji (sadarbības partneris).</w:t>
      </w:r>
    </w:p>
    <w:p w:rsidR="003E56DE" w:rsidRPr="007D7B95" w:rsidRDefault="003E56DE" w:rsidP="007D7B95">
      <w:pPr>
        <w:pStyle w:val="PlainText"/>
        <w:jc w:val="both"/>
        <w:rPr>
          <w:rFonts w:asciiTheme="minorHAnsi" w:hAnsiTheme="minorHAnsi"/>
          <w:szCs w:val="22"/>
        </w:rPr>
      </w:pPr>
      <w:r w:rsidRPr="007D7B95">
        <w:rPr>
          <w:rFonts w:asciiTheme="minorHAnsi" w:hAnsiTheme="minorHAnsi"/>
          <w:szCs w:val="22"/>
        </w:rPr>
        <w:t>Noteikumu 77. punkts nosaka, ka, ja tiek īstenots sadarbības pētniecības projekts, katra sadarbības partnera veiktajām izmaksām tiek piemērota atbilstoša intensitāte, ņemot vērā partnera atbilstību sīkajam (mikro), mazajam, vidējam vai lielajam komersantam.</w:t>
      </w:r>
    </w:p>
    <w:p w:rsidR="003E56DE" w:rsidRPr="007D7B95" w:rsidRDefault="003E56DE" w:rsidP="007D7B95">
      <w:pPr>
        <w:pStyle w:val="PlainText"/>
        <w:jc w:val="both"/>
        <w:rPr>
          <w:rFonts w:asciiTheme="minorHAnsi" w:hAnsiTheme="minorHAnsi"/>
          <w:szCs w:val="22"/>
        </w:rPr>
      </w:pPr>
      <w:r w:rsidRPr="007D7B95">
        <w:rPr>
          <w:rFonts w:asciiTheme="minorHAnsi" w:hAnsiTheme="minorHAnsi"/>
          <w:szCs w:val="22"/>
        </w:rPr>
        <w:t>Elektronikas un datorzinātņu institūtā ir vairāk par 50, bet mazāk par</w:t>
      </w:r>
    </w:p>
    <w:p w:rsidR="003E56DE" w:rsidRPr="007D7B95" w:rsidRDefault="003E56DE" w:rsidP="007D7B95">
      <w:pPr>
        <w:pStyle w:val="PlainText"/>
        <w:jc w:val="both"/>
        <w:rPr>
          <w:rFonts w:asciiTheme="minorHAnsi" w:hAnsiTheme="minorHAnsi"/>
          <w:szCs w:val="22"/>
        </w:rPr>
      </w:pPr>
      <w:r w:rsidRPr="007D7B95">
        <w:rPr>
          <w:rFonts w:asciiTheme="minorHAnsi" w:hAnsiTheme="minorHAnsi"/>
          <w:szCs w:val="22"/>
        </w:rPr>
        <w:t xml:space="preserve">250 darbiniekiem un gada apgrozījums ir mazāks par 50 </w:t>
      </w:r>
      <w:proofErr w:type="spellStart"/>
      <w:r w:rsidRPr="007D7B95">
        <w:rPr>
          <w:rFonts w:asciiTheme="minorHAnsi" w:hAnsiTheme="minorHAnsi"/>
          <w:szCs w:val="22"/>
        </w:rPr>
        <w:t>mljn</w:t>
      </w:r>
      <w:proofErr w:type="spellEnd"/>
      <w:r w:rsidRPr="007D7B95">
        <w:rPr>
          <w:rFonts w:asciiTheme="minorHAnsi" w:hAnsiTheme="minorHAnsi"/>
          <w:szCs w:val="22"/>
        </w:rPr>
        <w:t>. EUR, tāpēc visos līdzšinējos Eiropas struktūrfondu līdzfinansētos projektos, kas saistīti ar valsts atbalsta nosacījumu ievērošanu, esam pielīdzināti vidējam komersantam.</w:t>
      </w:r>
    </w:p>
    <w:p w:rsidR="003E56DE" w:rsidRPr="007D7B95" w:rsidRDefault="003E56DE" w:rsidP="007D7B95">
      <w:pPr>
        <w:pStyle w:val="PlainText"/>
        <w:jc w:val="both"/>
        <w:rPr>
          <w:rFonts w:asciiTheme="minorHAnsi" w:hAnsiTheme="minorHAnsi"/>
          <w:szCs w:val="22"/>
        </w:rPr>
      </w:pPr>
    </w:p>
    <w:p w:rsidR="003E56DE" w:rsidRPr="007D7B95" w:rsidRDefault="003E56DE" w:rsidP="007D7B95">
      <w:pPr>
        <w:pStyle w:val="PlainText"/>
        <w:jc w:val="both"/>
        <w:rPr>
          <w:rFonts w:asciiTheme="minorHAnsi" w:hAnsiTheme="minorHAnsi"/>
          <w:szCs w:val="22"/>
        </w:rPr>
      </w:pPr>
      <w:r w:rsidRPr="007D7B95">
        <w:rPr>
          <w:rFonts w:asciiTheme="minorHAnsi" w:hAnsiTheme="minorHAnsi"/>
          <w:szCs w:val="22"/>
        </w:rPr>
        <w:t>Lūgums skaidrot vai īstenojot kompetences centru pētniecības projektus uz mums attiecas 68.1.2, 68.2.2 un 68.3.2 apakšpunktos noteiktās maksimāli pieļaujamās finansējuma intensitātes no projekta kopējām attiecināmajām izmaksām.</w:t>
      </w:r>
    </w:p>
    <w:p w:rsidR="003E56DE" w:rsidRPr="007D7B95" w:rsidRDefault="003E56DE" w:rsidP="007D7B95">
      <w:pPr>
        <w:pStyle w:val="ListParagraph"/>
        <w:jc w:val="both"/>
        <w:rPr>
          <w:rFonts w:asciiTheme="minorHAnsi" w:hAnsiTheme="minorHAnsi"/>
        </w:rPr>
      </w:pPr>
    </w:p>
    <w:p w:rsidR="003E56DE" w:rsidRPr="007D7B95" w:rsidRDefault="003E56DE" w:rsidP="007D7B95">
      <w:pPr>
        <w:pStyle w:val="PlainText"/>
        <w:jc w:val="both"/>
        <w:rPr>
          <w:rFonts w:asciiTheme="minorHAnsi" w:hAnsiTheme="minorHAnsi"/>
          <w:szCs w:val="22"/>
        </w:rPr>
      </w:pPr>
      <w:r w:rsidRPr="007D7B95">
        <w:rPr>
          <w:rFonts w:asciiTheme="minorHAnsi" w:hAnsiTheme="minorHAnsi"/>
          <w:b/>
          <w:bCs/>
          <w:szCs w:val="22"/>
        </w:rPr>
        <w:t>Atbilde:</w:t>
      </w:r>
      <w:r w:rsidRPr="007D7B95">
        <w:rPr>
          <w:rFonts w:asciiTheme="minorHAnsi" w:hAnsiTheme="minorHAnsi"/>
          <w:szCs w:val="22"/>
        </w:rPr>
        <w:t xml:space="preserve"> </w:t>
      </w:r>
    </w:p>
    <w:p w:rsidR="003E56DE" w:rsidRPr="007D7B95" w:rsidRDefault="003E56DE" w:rsidP="007D7B95">
      <w:pPr>
        <w:pStyle w:val="PlainText"/>
        <w:jc w:val="both"/>
        <w:rPr>
          <w:rFonts w:asciiTheme="minorHAnsi" w:hAnsiTheme="minorHAnsi"/>
          <w:szCs w:val="22"/>
        </w:rPr>
      </w:pPr>
      <w:r w:rsidRPr="007D7B95">
        <w:rPr>
          <w:rFonts w:asciiTheme="minorHAnsi" w:hAnsiTheme="minorHAnsi"/>
          <w:szCs w:val="22"/>
        </w:rPr>
        <w:t>Skaidrojam, ka regula Nr.651/2014 nosaka, ka p</w:t>
      </w:r>
      <w:r w:rsidRPr="007D7B95">
        <w:rPr>
          <w:rFonts w:asciiTheme="minorHAnsi" w:hAnsiTheme="minorHAnsi"/>
          <w:szCs w:val="22"/>
          <w:shd w:val="clear" w:color="auto" w:fill="FFFFFF"/>
        </w:rPr>
        <w:t xml:space="preserve">ar uzņēmumu uzskata jebkuru saimnieciskās darbības subjektu neatkarīgi no tā juridiskās formas. </w:t>
      </w:r>
      <w:r w:rsidRPr="007D7B95">
        <w:rPr>
          <w:rFonts w:asciiTheme="minorHAnsi" w:hAnsiTheme="minorHAnsi"/>
          <w:szCs w:val="22"/>
        </w:rPr>
        <w:t>Saimnieciskā darbība ir saistīta ar peļņas gūšanu; tā kā EDI izpilda gan valsts, gan privātos pasūtījumus, kā arī EDI nolikumā pie finansēšanas avotiem ir norādīti ieņēmumi no nacionāliem un starptautiskiem projektiem, var uzskatīt, ka EDI ir saimnieciskās darbības veicējs.</w:t>
      </w:r>
    </w:p>
    <w:p w:rsidR="003E56DE" w:rsidRPr="007D7B95" w:rsidRDefault="003E56DE" w:rsidP="007D7B95">
      <w:pPr>
        <w:pStyle w:val="PlainText"/>
        <w:jc w:val="both"/>
        <w:rPr>
          <w:rFonts w:asciiTheme="minorHAnsi" w:hAnsiTheme="minorHAnsi"/>
          <w:szCs w:val="22"/>
        </w:rPr>
      </w:pPr>
    </w:p>
    <w:p w:rsidR="003E56DE" w:rsidRPr="007D7B95" w:rsidRDefault="003E56DE" w:rsidP="007D7B95">
      <w:pPr>
        <w:jc w:val="both"/>
        <w:rPr>
          <w:rFonts w:asciiTheme="minorHAnsi" w:hAnsiTheme="minorHAnsi"/>
          <w:sz w:val="22"/>
          <w:szCs w:val="22"/>
        </w:rPr>
      </w:pPr>
      <w:r w:rsidRPr="007D7B95">
        <w:rPr>
          <w:rFonts w:asciiTheme="minorHAnsi" w:hAnsiTheme="minorHAnsi"/>
          <w:sz w:val="22"/>
          <w:szCs w:val="22"/>
        </w:rPr>
        <w:t xml:space="preserve">Atbalsta intensitāte tiek noteikta atbilstoši MK noteikumu 68.punktā norādītajām intensitātēm, pamatojoties uz Regulas  651/2014 2.panta 24.punktā vai minētās regulas I pielikuma 2.pantā noteikto uzņēmuma kategoriju. Pamatojoties uz šobrīd CFLA rīcībā esošo informāciju, secināms, ka EDI būtu kvalificējams vidēja uzņēmuma kategorijai. Plašāks atbilstības </w:t>
      </w:r>
      <w:proofErr w:type="spellStart"/>
      <w:r w:rsidRPr="007D7B95">
        <w:rPr>
          <w:rFonts w:asciiTheme="minorHAnsi" w:hAnsiTheme="minorHAnsi"/>
          <w:sz w:val="22"/>
          <w:szCs w:val="22"/>
        </w:rPr>
        <w:t>izvērtējums</w:t>
      </w:r>
      <w:proofErr w:type="spellEnd"/>
      <w:r w:rsidRPr="007D7B95">
        <w:rPr>
          <w:rFonts w:asciiTheme="minorHAnsi" w:hAnsiTheme="minorHAnsi"/>
          <w:sz w:val="22"/>
          <w:szCs w:val="22"/>
        </w:rPr>
        <w:t xml:space="preserve"> tiks veikts projekta iesnieguma vērtēšanas laikā.  </w:t>
      </w:r>
    </w:p>
    <w:p w:rsidR="003E56DE" w:rsidRPr="007D7B95" w:rsidRDefault="003E56DE" w:rsidP="007D7B95">
      <w:pPr>
        <w:jc w:val="both"/>
        <w:rPr>
          <w:rFonts w:asciiTheme="minorHAnsi" w:hAnsiTheme="minorHAnsi"/>
          <w:b/>
          <w:color w:val="FF0000"/>
          <w:sz w:val="22"/>
          <w:szCs w:val="22"/>
        </w:rPr>
      </w:pPr>
    </w:p>
    <w:p w:rsidR="003E56DE" w:rsidRPr="007D7B95" w:rsidRDefault="003E56DE" w:rsidP="007D7B95">
      <w:pPr>
        <w:jc w:val="both"/>
        <w:rPr>
          <w:rFonts w:asciiTheme="minorHAnsi" w:hAnsiTheme="minorHAnsi"/>
          <w:b/>
          <w:color w:val="FF0000"/>
          <w:sz w:val="22"/>
          <w:szCs w:val="22"/>
        </w:rPr>
      </w:pPr>
    </w:p>
    <w:p w:rsidR="003E56DE" w:rsidRPr="007D7B95" w:rsidRDefault="00B56FB8" w:rsidP="007D7B95">
      <w:pPr>
        <w:jc w:val="both"/>
        <w:rPr>
          <w:rFonts w:asciiTheme="minorHAnsi" w:hAnsiTheme="minorHAnsi"/>
          <w:b/>
          <w:sz w:val="22"/>
          <w:szCs w:val="22"/>
        </w:rPr>
      </w:pPr>
      <w:r>
        <w:rPr>
          <w:rFonts w:asciiTheme="minorHAnsi" w:hAnsiTheme="minorHAnsi"/>
          <w:b/>
          <w:sz w:val="22"/>
          <w:szCs w:val="22"/>
        </w:rPr>
        <w:t>13</w:t>
      </w:r>
      <w:r w:rsidR="00690803">
        <w:rPr>
          <w:rFonts w:asciiTheme="minorHAnsi" w:hAnsiTheme="minorHAnsi"/>
          <w:b/>
          <w:sz w:val="22"/>
          <w:szCs w:val="22"/>
        </w:rPr>
        <w:t>.</w:t>
      </w:r>
      <w:r w:rsidR="003E56DE" w:rsidRPr="007D7B95">
        <w:rPr>
          <w:rFonts w:asciiTheme="minorHAnsi" w:hAnsiTheme="minorHAnsi"/>
          <w:b/>
          <w:sz w:val="22"/>
          <w:szCs w:val="22"/>
        </w:rPr>
        <w:t xml:space="preserve">Jautājums: </w:t>
      </w:r>
    </w:p>
    <w:p w:rsidR="003E56DE" w:rsidRPr="007D7B95" w:rsidRDefault="003E56DE" w:rsidP="007D7B95">
      <w:pPr>
        <w:jc w:val="both"/>
        <w:rPr>
          <w:rFonts w:asciiTheme="minorHAnsi" w:hAnsiTheme="minorHAnsi"/>
          <w:sz w:val="22"/>
          <w:szCs w:val="22"/>
        </w:rPr>
      </w:pPr>
      <w:r w:rsidRPr="007D7B95">
        <w:rPr>
          <w:rFonts w:asciiTheme="minorHAnsi" w:hAnsiTheme="minorHAnsi"/>
          <w:sz w:val="22"/>
          <w:szCs w:val="22"/>
        </w:rPr>
        <w:t xml:space="preserve">Vai pareizi sapratām pēdējo atbildi, ka uzņēmumam  nav šķēršļa piešķirt valsts atbalstu (attiecībā uz valsts atbalsta ierobežojumiem grūtībās nonākušiem komersantiem), ja uzņēmums </w:t>
      </w:r>
      <w:r w:rsidRPr="007D7B95">
        <w:rPr>
          <w:rFonts w:asciiTheme="minorHAnsi" w:hAnsiTheme="minorHAnsi"/>
          <w:b/>
          <w:bCs/>
          <w:sz w:val="22"/>
          <w:szCs w:val="22"/>
        </w:rPr>
        <w:t>neatbilst grūtībās nonākuša komersanta statusam</w:t>
      </w:r>
      <w:r w:rsidRPr="007D7B95">
        <w:rPr>
          <w:rFonts w:asciiTheme="minorHAnsi" w:hAnsiTheme="minorHAnsi"/>
          <w:sz w:val="22"/>
          <w:szCs w:val="22"/>
        </w:rPr>
        <w:t>, viens no tā dibinātājiem atbilst grūtības nonākuša  komersanta statusam, tomēr grūtībās nonākušais dibinātājs nav “saistītais uzņēmums” ar valsts atbalstu saņemošo uzņēmumu Regulas Nr.651/2014 1.pielikuma 3.panta 3.apakšpunkta izpratnē.</w:t>
      </w:r>
    </w:p>
    <w:p w:rsidR="003E56DE" w:rsidRPr="007D7B95" w:rsidRDefault="003E56DE" w:rsidP="007D7B95">
      <w:pPr>
        <w:jc w:val="both"/>
        <w:rPr>
          <w:rFonts w:asciiTheme="minorHAnsi" w:hAnsiTheme="minorHAnsi"/>
          <w:sz w:val="22"/>
          <w:szCs w:val="22"/>
        </w:rPr>
      </w:pPr>
    </w:p>
    <w:p w:rsidR="003E56DE" w:rsidRPr="007D7B95" w:rsidRDefault="003E56DE" w:rsidP="007D7B95">
      <w:pPr>
        <w:jc w:val="both"/>
        <w:rPr>
          <w:rFonts w:asciiTheme="minorHAnsi" w:hAnsiTheme="minorHAnsi"/>
          <w:b/>
          <w:sz w:val="22"/>
          <w:szCs w:val="22"/>
        </w:rPr>
      </w:pPr>
      <w:r w:rsidRPr="007D7B95">
        <w:rPr>
          <w:rFonts w:asciiTheme="minorHAnsi" w:hAnsiTheme="minorHAnsi"/>
          <w:b/>
          <w:sz w:val="22"/>
          <w:szCs w:val="22"/>
        </w:rPr>
        <w:t xml:space="preserve">Atbilde: </w:t>
      </w:r>
    </w:p>
    <w:p w:rsidR="003E56DE" w:rsidRPr="007D7B95" w:rsidRDefault="003E56DE" w:rsidP="007D7B95">
      <w:pPr>
        <w:jc w:val="both"/>
        <w:rPr>
          <w:rFonts w:asciiTheme="minorHAnsi" w:hAnsiTheme="minorHAnsi"/>
          <w:sz w:val="22"/>
          <w:szCs w:val="22"/>
        </w:rPr>
      </w:pPr>
    </w:p>
    <w:p w:rsidR="003A4BC3" w:rsidRPr="007D7B95" w:rsidRDefault="003A4BC3" w:rsidP="007D7B95">
      <w:pPr>
        <w:jc w:val="both"/>
        <w:rPr>
          <w:rFonts w:asciiTheme="minorHAnsi" w:hAnsiTheme="minorHAnsi"/>
          <w:sz w:val="22"/>
          <w:szCs w:val="22"/>
        </w:rPr>
      </w:pPr>
      <w:r w:rsidRPr="007D7B95">
        <w:rPr>
          <w:rFonts w:asciiTheme="minorHAnsi" w:hAnsiTheme="minorHAnsi"/>
          <w:sz w:val="22"/>
          <w:szCs w:val="22"/>
        </w:rPr>
        <w:t xml:space="preserve">Jā. Tomēr papildus skaidrojam, ka saskaņā ar Eiropas Komisijas skaidrojumu, kamēr uzņēmumu grupa rīkojas kā vienota saimnieciskā vienība, tas tiek uzskatīts par vienotu uzņēmumu un, piešķirot valsts atbalstu, tiek vērtēta visa uzņēmuma grupa kopumā. Šajā gadījumā atsevišķi netiek izdalīts, vai grupā ir saistītie uzņēmumi regulas izpratnē, proti, balsstiesību vairākums (51% vai vairāk) netiek uzskatīts par izšķirošo kritēriju. </w:t>
      </w:r>
    </w:p>
    <w:p w:rsidR="00CD153D" w:rsidRPr="007D7B95" w:rsidRDefault="00CD153D" w:rsidP="007D7B95">
      <w:pPr>
        <w:jc w:val="both"/>
        <w:rPr>
          <w:rFonts w:asciiTheme="minorHAnsi" w:hAnsiTheme="minorHAnsi"/>
          <w:color w:val="FF0000"/>
          <w:sz w:val="22"/>
          <w:szCs w:val="22"/>
        </w:rPr>
      </w:pPr>
    </w:p>
    <w:p w:rsidR="006F00AF" w:rsidRPr="007D7B95" w:rsidRDefault="00B56FB8" w:rsidP="007D7B95">
      <w:pPr>
        <w:jc w:val="both"/>
        <w:rPr>
          <w:rFonts w:asciiTheme="minorHAnsi" w:hAnsiTheme="minorHAnsi"/>
          <w:b/>
          <w:sz w:val="22"/>
          <w:szCs w:val="22"/>
        </w:rPr>
      </w:pPr>
      <w:r>
        <w:rPr>
          <w:rFonts w:asciiTheme="minorHAnsi" w:hAnsiTheme="minorHAnsi"/>
          <w:b/>
          <w:sz w:val="22"/>
          <w:szCs w:val="22"/>
        </w:rPr>
        <w:t>14</w:t>
      </w:r>
      <w:bookmarkStart w:id="0" w:name="_GoBack"/>
      <w:bookmarkEnd w:id="0"/>
      <w:r w:rsidR="00690803">
        <w:rPr>
          <w:rFonts w:asciiTheme="minorHAnsi" w:hAnsiTheme="minorHAnsi"/>
          <w:b/>
          <w:sz w:val="22"/>
          <w:szCs w:val="22"/>
        </w:rPr>
        <w:t>.</w:t>
      </w:r>
      <w:r w:rsidR="006F00AF" w:rsidRPr="007D7B95">
        <w:rPr>
          <w:rFonts w:asciiTheme="minorHAnsi" w:hAnsiTheme="minorHAnsi"/>
          <w:b/>
          <w:sz w:val="22"/>
          <w:szCs w:val="22"/>
        </w:rPr>
        <w:t>Jautājums:</w:t>
      </w:r>
    </w:p>
    <w:p w:rsidR="006F00AF" w:rsidRPr="007D7B95" w:rsidRDefault="006F00AF" w:rsidP="007D7B95">
      <w:pPr>
        <w:jc w:val="both"/>
        <w:rPr>
          <w:rFonts w:asciiTheme="minorHAnsi" w:hAnsiTheme="minorHAnsi"/>
          <w:sz w:val="22"/>
          <w:szCs w:val="22"/>
        </w:rPr>
      </w:pPr>
      <w:r w:rsidRPr="007D7B95">
        <w:rPr>
          <w:rFonts w:asciiTheme="minorHAnsi" w:hAnsiTheme="minorHAnsi"/>
          <w:sz w:val="22"/>
          <w:szCs w:val="22"/>
        </w:rPr>
        <w:lastRenderedPageBreak/>
        <w:t>Vai vienota saimnieciskā vienība tiek vērtēta Komisijas regulas Nr.1407/2013 2.panta 2.punkta izpratnē.</w:t>
      </w:r>
    </w:p>
    <w:p w:rsidR="006F00AF" w:rsidRPr="007D7B95" w:rsidRDefault="006F00AF" w:rsidP="007D7B95">
      <w:pPr>
        <w:jc w:val="both"/>
        <w:rPr>
          <w:rFonts w:asciiTheme="minorHAnsi" w:hAnsiTheme="minorHAnsi"/>
          <w:sz w:val="22"/>
          <w:szCs w:val="22"/>
        </w:rPr>
      </w:pPr>
    </w:p>
    <w:p w:rsidR="006F00AF" w:rsidRPr="007D7B95" w:rsidRDefault="006F00AF" w:rsidP="007D7B95">
      <w:pPr>
        <w:jc w:val="both"/>
        <w:rPr>
          <w:rFonts w:asciiTheme="minorHAnsi" w:hAnsiTheme="minorHAnsi"/>
          <w:b/>
          <w:sz w:val="22"/>
          <w:szCs w:val="22"/>
        </w:rPr>
      </w:pPr>
      <w:r w:rsidRPr="007D7B95">
        <w:rPr>
          <w:rFonts w:asciiTheme="minorHAnsi" w:hAnsiTheme="minorHAnsi"/>
          <w:b/>
          <w:sz w:val="22"/>
          <w:szCs w:val="22"/>
        </w:rPr>
        <w:t xml:space="preserve">Atbilde: </w:t>
      </w:r>
    </w:p>
    <w:p w:rsidR="006F00AF" w:rsidRPr="007D7B95" w:rsidRDefault="006F00AF" w:rsidP="007D7B95">
      <w:pPr>
        <w:jc w:val="both"/>
        <w:rPr>
          <w:rFonts w:asciiTheme="minorHAnsi" w:hAnsiTheme="minorHAnsi"/>
          <w:b/>
          <w:sz w:val="22"/>
          <w:szCs w:val="22"/>
        </w:rPr>
      </w:pPr>
    </w:p>
    <w:p w:rsidR="006F00AF" w:rsidRPr="007D7B95" w:rsidRDefault="006F00AF" w:rsidP="007D7B95">
      <w:pPr>
        <w:jc w:val="both"/>
        <w:rPr>
          <w:rFonts w:asciiTheme="minorHAnsi" w:hAnsiTheme="minorHAnsi"/>
          <w:sz w:val="22"/>
          <w:szCs w:val="22"/>
          <w:lang w:eastAsia="en-US"/>
        </w:rPr>
      </w:pPr>
      <w:bookmarkStart w:id="1" w:name="_MailEndCompose"/>
      <w:r w:rsidRPr="007D7B95">
        <w:rPr>
          <w:rFonts w:asciiTheme="minorHAnsi" w:hAnsiTheme="minorHAnsi"/>
          <w:sz w:val="22"/>
          <w:szCs w:val="22"/>
          <w:lang w:eastAsia="en-US"/>
        </w:rPr>
        <w:t xml:space="preserve">Nē, “grūtībās nonākuša uzņēmuma” statuss tiks vērtēts atbilstoši Komisijas regulai Nr. 651/2014. Vienota saimnieciskā vienība tiks vērtēta pēc tās saimnieciskās darbības rakstura visas uzņēmuma grupas ietvaros, pamatojoties uz pieejamo informāciju publiskos reģistros un datu bāzēs, kā arī projekta iesniedzēja sniegto informāciju. </w:t>
      </w:r>
      <w:bookmarkEnd w:id="1"/>
    </w:p>
    <w:p w:rsidR="006F00AF" w:rsidRPr="007D7B95" w:rsidRDefault="006F00AF" w:rsidP="007D7B95">
      <w:pPr>
        <w:jc w:val="both"/>
        <w:rPr>
          <w:rFonts w:asciiTheme="minorHAnsi" w:hAnsiTheme="minorHAnsi"/>
          <w:b/>
          <w:color w:val="FF0000"/>
          <w:sz w:val="22"/>
          <w:szCs w:val="22"/>
        </w:rPr>
      </w:pPr>
    </w:p>
    <w:sectPr w:rsidR="006F00AF" w:rsidRPr="007D7B9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ヒラギノ角ゴ Pro W3">
    <w:altName w:val="Times New Roman"/>
    <w:charset w:val="00"/>
    <w:family w:val="roman"/>
    <w:pitch w:val="default"/>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66A25"/>
    <w:multiLevelType w:val="hybridMultilevel"/>
    <w:tmpl w:val="ED461BE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1C523817"/>
    <w:multiLevelType w:val="hybridMultilevel"/>
    <w:tmpl w:val="3116A61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AEC4747"/>
    <w:multiLevelType w:val="hybridMultilevel"/>
    <w:tmpl w:val="C72670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54F28A3"/>
    <w:multiLevelType w:val="hybridMultilevel"/>
    <w:tmpl w:val="27CC21E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6DE"/>
    <w:rsid w:val="003A4BC3"/>
    <w:rsid w:val="003E56DE"/>
    <w:rsid w:val="004440B7"/>
    <w:rsid w:val="004C29BC"/>
    <w:rsid w:val="005E2858"/>
    <w:rsid w:val="00690803"/>
    <w:rsid w:val="006951A9"/>
    <w:rsid w:val="006F00AF"/>
    <w:rsid w:val="007A7096"/>
    <w:rsid w:val="007D7B95"/>
    <w:rsid w:val="008B3E59"/>
    <w:rsid w:val="00962B70"/>
    <w:rsid w:val="009B1341"/>
    <w:rsid w:val="00B56FB8"/>
    <w:rsid w:val="00CC6C6C"/>
    <w:rsid w:val="00CD153D"/>
    <w:rsid w:val="00DA2590"/>
    <w:rsid w:val="00DD1E4D"/>
    <w:rsid w:val="00E27D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2A7F90-4B7D-44AD-BE22-B1CC684CD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6DE"/>
    <w:pPr>
      <w:spacing w:after="0" w:line="240" w:lineRule="auto"/>
    </w:pPr>
    <w:rPr>
      <w:rFonts w:ascii="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2"/>
    <w:basedOn w:val="Normal"/>
    <w:link w:val="ListParagraphChar"/>
    <w:uiPriority w:val="34"/>
    <w:qFormat/>
    <w:rsid w:val="003E56DE"/>
    <w:pPr>
      <w:ind w:left="720"/>
      <w:contextualSpacing/>
    </w:pPr>
    <w:rPr>
      <w:rFonts w:ascii="Calibri" w:hAnsi="Calibri"/>
      <w:sz w:val="22"/>
      <w:szCs w:val="22"/>
      <w:lang w:eastAsia="en-US"/>
    </w:rPr>
  </w:style>
  <w:style w:type="paragraph" w:styleId="PlainText">
    <w:name w:val="Plain Text"/>
    <w:basedOn w:val="Normal"/>
    <w:link w:val="PlainTextChar"/>
    <w:uiPriority w:val="99"/>
    <w:unhideWhenUsed/>
    <w:rsid w:val="003E56DE"/>
    <w:rPr>
      <w:rFonts w:ascii="Calibri" w:hAnsi="Calibri" w:cstheme="minorBidi"/>
      <w:sz w:val="22"/>
      <w:szCs w:val="21"/>
      <w:lang w:eastAsia="en-US"/>
    </w:rPr>
  </w:style>
  <w:style w:type="character" w:customStyle="1" w:styleId="PlainTextChar">
    <w:name w:val="Plain Text Char"/>
    <w:basedOn w:val="DefaultParagraphFont"/>
    <w:link w:val="PlainText"/>
    <w:uiPriority w:val="99"/>
    <w:rsid w:val="003E56DE"/>
    <w:rPr>
      <w:rFonts w:ascii="Calibri" w:hAnsi="Calibri"/>
      <w:szCs w:val="21"/>
    </w:rPr>
  </w:style>
  <w:style w:type="character" w:customStyle="1" w:styleId="ListParagraphChar">
    <w:name w:val="List Paragraph Char"/>
    <w:aliases w:val="H&amp;P List Paragraph Char,2 Char"/>
    <w:link w:val="ListParagraph"/>
    <w:locked/>
    <w:rsid w:val="003E56DE"/>
    <w:rPr>
      <w:rFonts w:ascii="Calibri" w:hAnsi="Calibri" w:cs="Times New Roman"/>
    </w:rPr>
  </w:style>
  <w:style w:type="character" w:styleId="Hyperlink">
    <w:name w:val="Hyperlink"/>
    <w:basedOn w:val="DefaultParagraphFont"/>
    <w:uiPriority w:val="99"/>
    <w:unhideWhenUsed/>
    <w:rsid w:val="004440B7"/>
    <w:rPr>
      <w:color w:val="0563C1"/>
      <w:u w:val="single"/>
    </w:rPr>
  </w:style>
  <w:style w:type="paragraph" w:styleId="NoSpacing">
    <w:name w:val="No Spacing"/>
    <w:basedOn w:val="Normal"/>
    <w:uiPriority w:val="1"/>
    <w:qFormat/>
    <w:rsid w:val="009B1341"/>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5791">
      <w:bodyDiv w:val="1"/>
      <w:marLeft w:val="0"/>
      <w:marRight w:val="0"/>
      <w:marTop w:val="0"/>
      <w:marBottom w:val="0"/>
      <w:divBdr>
        <w:top w:val="none" w:sz="0" w:space="0" w:color="auto"/>
        <w:left w:val="none" w:sz="0" w:space="0" w:color="auto"/>
        <w:bottom w:val="none" w:sz="0" w:space="0" w:color="auto"/>
        <w:right w:val="none" w:sz="0" w:space="0" w:color="auto"/>
      </w:divBdr>
    </w:div>
    <w:div w:id="152114217">
      <w:bodyDiv w:val="1"/>
      <w:marLeft w:val="0"/>
      <w:marRight w:val="0"/>
      <w:marTop w:val="0"/>
      <w:marBottom w:val="0"/>
      <w:divBdr>
        <w:top w:val="none" w:sz="0" w:space="0" w:color="auto"/>
        <w:left w:val="none" w:sz="0" w:space="0" w:color="auto"/>
        <w:bottom w:val="none" w:sz="0" w:space="0" w:color="auto"/>
        <w:right w:val="none" w:sz="0" w:space="0" w:color="auto"/>
      </w:divBdr>
    </w:div>
    <w:div w:id="164638661">
      <w:bodyDiv w:val="1"/>
      <w:marLeft w:val="0"/>
      <w:marRight w:val="0"/>
      <w:marTop w:val="0"/>
      <w:marBottom w:val="0"/>
      <w:divBdr>
        <w:top w:val="none" w:sz="0" w:space="0" w:color="auto"/>
        <w:left w:val="none" w:sz="0" w:space="0" w:color="auto"/>
        <w:bottom w:val="none" w:sz="0" w:space="0" w:color="auto"/>
        <w:right w:val="none" w:sz="0" w:space="0" w:color="auto"/>
      </w:divBdr>
    </w:div>
    <w:div w:id="446775474">
      <w:bodyDiv w:val="1"/>
      <w:marLeft w:val="0"/>
      <w:marRight w:val="0"/>
      <w:marTop w:val="0"/>
      <w:marBottom w:val="0"/>
      <w:divBdr>
        <w:top w:val="none" w:sz="0" w:space="0" w:color="auto"/>
        <w:left w:val="none" w:sz="0" w:space="0" w:color="auto"/>
        <w:bottom w:val="none" w:sz="0" w:space="0" w:color="auto"/>
        <w:right w:val="none" w:sz="0" w:space="0" w:color="auto"/>
      </w:divBdr>
    </w:div>
    <w:div w:id="496043353">
      <w:bodyDiv w:val="1"/>
      <w:marLeft w:val="0"/>
      <w:marRight w:val="0"/>
      <w:marTop w:val="0"/>
      <w:marBottom w:val="0"/>
      <w:divBdr>
        <w:top w:val="none" w:sz="0" w:space="0" w:color="auto"/>
        <w:left w:val="none" w:sz="0" w:space="0" w:color="auto"/>
        <w:bottom w:val="none" w:sz="0" w:space="0" w:color="auto"/>
        <w:right w:val="none" w:sz="0" w:space="0" w:color="auto"/>
      </w:divBdr>
    </w:div>
    <w:div w:id="543442981">
      <w:bodyDiv w:val="1"/>
      <w:marLeft w:val="0"/>
      <w:marRight w:val="0"/>
      <w:marTop w:val="0"/>
      <w:marBottom w:val="0"/>
      <w:divBdr>
        <w:top w:val="none" w:sz="0" w:space="0" w:color="auto"/>
        <w:left w:val="none" w:sz="0" w:space="0" w:color="auto"/>
        <w:bottom w:val="none" w:sz="0" w:space="0" w:color="auto"/>
        <w:right w:val="none" w:sz="0" w:space="0" w:color="auto"/>
      </w:divBdr>
    </w:div>
    <w:div w:id="1130440848">
      <w:bodyDiv w:val="1"/>
      <w:marLeft w:val="0"/>
      <w:marRight w:val="0"/>
      <w:marTop w:val="0"/>
      <w:marBottom w:val="0"/>
      <w:divBdr>
        <w:top w:val="none" w:sz="0" w:space="0" w:color="auto"/>
        <w:left w:val="none" w:sz="0" w:space="0" w:color="auto"/>
        <w:bottom w:val="none" w:sz="0" w:space="0" w:color="auto"/>
        <w:right w:val="none" w:sz="0" w:space="0" w:color="auto"/>
      </w:divBdr>
    </w:div>
    <w:div w:id="1300454707">
      <w:bodyDiv w:val="1"/>
      <w:marLeft w:val="0"/>
      <w:marRight w:val="0"/>
      <w:marTop w:val="0"/>
      <w:marBottom w:val="0"/>
      <w:divBdr>
        <w:top w:val="none" w:sz="0" w:space="0" w:color="auto"/>
        <w:left w:val="none" w:sz="0" w:space="0" w:color="auto"/>
        <w:bottom w:val="none" w:sz="0" w:space="0" w:color="auto"/>
        <w:right w:val="none" w:sz="0" w:space="0" w:color="auto"/>
      </w:divBdr>
    </w:div>
    <w:div w:id="1329941671">
      <w:bodyDiv w:val="1"/>
      <w:marLeft w:val="0"/>
      <w:marRight w:val="0"/>
      <w:marTop w:val="0"/>
      <w:marBottom w:val="0"/>
      <w:divBdr>
        <w:top w:val="none" w:sz="0" w:space="0" w:color="auto"/>
        <w:left w:val="none" w:sz="0" w:space="0" w:color="auto"/>
        <w:bottom w:val="none" w:sz="0" w:space="0" w:color="auto"/>
        <w:right w:val="none" w:sz="0" w:space="0" w:color="auto"/>
      </w:divBdr>
    </w:div>
    <w:div w:id="1411462926">
      <w:bodyDiv w:val="1"/>
      <w:marLeft w:val="0"/>
      <w:marRight w:val="0"/>
      <w:marTop w:val="0"/>
      <w:marBottom w:val="0"/>
      <w:divBdr>
        <w:top w:val="none" w:sz="0" w:space="0" w:color="auto"/>
        <w:left w:val="none" w:sz="0" w:space="0" w:color="auto"/>
        <w:bottom w:val="none" w:sz="0" w:space="0" w:color="auto"/>
        <w:right w:val="none" w:sz="0" w:space="0" w:color="auto"/>
      </w:divBdr>
    </w:div>
    <w:div w:id="1467508175">
      <w:bodyDiv w:val="1"/>
      <w:marLeft w:val="0"/>
      <w:marRight w:val="0"/>
      <w:marTop w:val="0"/>
      <w:marBottom w:val="0"/>
      <w:divBdr>
        <w:top w:val="none" w:sz="0" w:space="0" w:color="auto"/>
        <w:left w:val="none" w:sz="0" w:space="0" w:color="auto"/>
        <w:bottom w:val="none" w:sz="0" w:space="0" w:color="auto"/>
        <w:right w:val="none" w:sz="0" w:space="0" w:color="auto"/>
      </w:divBdr>
    </w:div>
    <w:div w:id="2007202453">
      <w:bodyDiv w:val="1"/>
      <w:marLeft w:val="0"/>
      <w:marRight w:val="0"/>
      <w:marTop w:val="0"/>
      <w:marBottom w:val="0"/>
      <w:divBdr>
        <w:top w:val="none" w:sz="0" w:space="0" w:color="auto"/>
        <w:left w:val="none" w:sz="0" w:space="0" w:color="auto"/>
        <w:bottom w:val="none" w:sz="0" w:space="0" w:color="auto"/>
        <w:right w:val="none" w:sz="0" w:space="0" w:color="auto"/>
      </w:divBdr>
    </w:div>
    <w:div w:id="207056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fla.gov.lv/lv/es-fondi-2014-2020/izsludinatas-atlases/1-2-1-1-atbalsts-jaunu-produktu-un-tehnologiju-izstradei-kompetences-centru-ietvaros-2-kar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sk" TargetMode="External"/><Relationship Id="rId5" Type="http://schemas.openxmlformats.org/officeDocument/2006/relationships/hyperlink" Target="http://t.s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B43DA2A2</Template>
  <TotalTime>512</TotalTime>
  <Pages>5</Pages>
  <Words>7300</Words>
  <Characters>4162</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Siliņa</dc:creator>
  <cp:keywords/>
  <dc:description/>
  <cp:lastModifiedBy>Ieva Siliņa</cp:lastModifiedBy>
  <cp:revision>6</cp:revision>
  <dcterms:created xsi:type="dcterms:W3CDTF">2016-05-05T13:05:00Z</dcterms:created>
  <dcterms:modified xsi:type="dcterms:W3CDTF">2016-05-13T12:07:00Z</dcterms:modified>
</cp:coreProperties>
</file>