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Default="00E812E0">
      <w:r w:rsidRPr="00C04EC1">
        <w:rPr>
          <w:b/>
          <w:u w:val="single"/>
        </w:rPr>
        <w:t>Projekta iesnieguma sagatavošanas, iesniegšanas un vērtēšanas jautājumi</w:t>
      </w:r>
    </w:p>
    <w:p w:rsidR="00E812E0" w:rsidRDefault="00E812E0" w:rsidP="00E812E0"/>
    <w:p w:rsidR="00E812E0" w:rsidRPr="00907C38" w:rsidRDefault="00E812E0" w:rsidP="00907C38">
      <w:pPr>
        <w:jc w:val="both"/>
        <w:rPr>
          <w:b/>
        </w:rPr>
      </w:pPr>
      <w:r w:rsidRPr="00907C38">
        <w:rPr>
          <w:b/>
        </w:rPr>
        <w:t xml:space="preserve">Jautājums: </w:t>
      </w:r>
    </w:p>
    <w:p w:rsidR="00E812E0" w:rsidRPr="00907C38" w:rsidRDefault="00E812E0" w:rsidP="00907C38">
      <w:pPr>
        <w:jc w:val="both"/>
      </w:pPr>
      <w:r w:rsidRPr="00907C38">
        <w:t>lūdzu skaidrojumu par P&amp;A izmaksu iekļaušanu sadarbības partnera kopējos datos.</w:t>
      </w:r>
    </w:p>
    <w:p w:rsidR="00E812E0" w:rsidRPr="00907C38" w:rsidRDefault="00E812E0" w:rsidP="00907C38">
      <w:pPr>
        <w:jc w:val="both"/>
      </w:pPr>
      <w:r w:rsidRPr="00907C38">
        <w:t xml:space="preserve">Esam konstatējuši, ka atsevišķiem uzņēmumiem P&amp;A izmaksas tiek uzrādītas tikai bilances postenī "Nemateriālie ieguldījumi", nenodalot tās kā attīstības izmaksas </w:t>
      </w:r>
      <w:proofErr w:type="spellStart"/>
      <w:r w:rsidRPr="00907C38">
        <w:t>apakšpostenī</w:t>
      </w:r>
      <w:proofErr w:type="spellEnd"/>
      <w:r w:rsidRPr="00907C38">
        <w:t>. </w:t>
      </w:r>
    </w:p>
    <w:p w:rsidR="00E812E0" w:rsidRPr="00907C38" w:rsidRDefault="00E812E0" w:rsidP="00907C38">
      <w:pPr>
        <w:jc w:val="both"/>
      </w:pPr>
      <w:r w:rsidRPr="00907C38">
        <w:t>Lūdzam sniegt skaidrojumu, kādi gada pārskata avoti (vadības ziņojums, bilances posteņi, pielikumi) tiks ņemti vērā, nosakot, vai P&amp;A izmaksas no gada pārskata ir korekti iekļautas šajā tabulā un vai var pieņemt, ka izmaksas, kas atspoguļotas bilances postenī "Nemateriālie ieguldījumi" ir iekļaujamas šajā pārskatā bez papildu revidenta atzinuma.</w:t>
      </w:r>
    </w:p>
    <w:p w:rsidR="00E812E0" w:rsidRPr="00907C38" w:rsidRDefault="00E812E0" w:rsidP="00907C38">
      <w:pPr>
        <w:jc w:val="both"/>
      </w:pPr>
    </w:p>
    <w:p w:rsidR="00E812E0" w:rsidRPr="00907C38" w:rsidRDefault="00E812E0" w:rsidP="00907C38">
      <w:pPr>
        <w:jc w:val="both"/>
      </w:pPr>
      <w:r w:rsidRPr="00907C38">
        <w:rPr>
          <w:b/>
        </w:rPr>
        <w:t>Atbilde:</w:t>
      </w:r>
      <w:r w:rsidRPr="00907C38">
        <w:t xml:space="preserve"> </w:t>
      </w:r>
      <w:r w:rsidR="002B5282" w:rsidRPr="00907C38">
        <w:t xml:space="preserve">Skaidrojam, ka vērtējot P&amp;A izmaksu apjomu tiks ņemts vērā vadības ziņojums, bilances posteņi, kā arī gada pārskata pielikumi, kas ietvar skaidrojošu informāciju par bilances posteņos iekļautajām izmaksām. </w:t>
      </w:r>
      <w:r w:rsidR="0081379B" w:rsidRPr="00907C38">
        <w:t>Turklāt, par visām P&amp;A izmaksām, kas iekļautas gada pārskata bilances postenī “Nemateriālie ieguldījumi”, ir jābūt zvērināta revidenta atzinumam.</w:t>
      </w:r>
    </w:p>
    <w:p w:rsidR="00E812E0" w:rsidRPr="00907C38" w:rsidRDefault="00E812E0" w:rsidP="00907C38">
      <w:pPr>
        <w:jc w:val="both"/>
      </w:pPr>
    </w:p>
    <w:p w:rsidR="00E812E0" w:rsidRPr="00907C38" w:rsidRDefault="00E812E0" w:rsidP="00907C38">
      <w:pPr>
        <w:jc w:val="both"/>
      </w:pPr>
      <w:bookmarkStart w:id="0" w:name="_GoBack"/>
      <w:bookmarkEnd w:id="0"/>
    </w:p>
    <w:p w:rsidR="00E05F54" w:rsidRPr="00E05F54" w:rsidRDefault="00E05F54" w:rsidP="00907C38">
      <w:pPr>
        <w:jc w:val="both"/>
        <w:rPr>
          <w:b/>
        </w:rPr>
      </w:pPr>
      <w:r w:rsidRPr="00E05F54">
        <w:rPr>
          <w:b/>
        </w:rPr>
        <w:t>Jautājums:</w:t>
      </w:r>
    </w:p>
    <w:p w:rsidR="00E812E0" w:rsidRPr="00907C38" w:rsidRDefault="00E812E0" w:rsidP="00907C38">
      <w:pPr>
        <w:jc w:val="both"/>
      </w:pPr>
      <w:r w:rsidRPr="00907C38">
        <w:t>Vai 4.2. kritērija izvērtēšanai par jaunu produktu esamību, kā datu avots/pamatojums tiks ieskaitīts uzņēmuma vadības parakstīts apliecinājums, kurā norādīti jaunie produkti?</w:t>
      </w:r>
    </w:p>
    <w:p w:rsidR="00E812E0" w:rsidRPr="00907C38" w:rsidRDefault="00E812E0" w:rsidP="00907C38">
      <w:pPr>
        <w:jc w:val="both"/>
      </w:pPr>
    </w:p>
    <w:p w:rsidR="00ED34A2" w:rsidRPr="00907C38" w:rsidRDefault="00E812E0" w:rsidP="00907C38">
      <w:pPr>
        <w:jc w:val="both"/>
        <w:rPr>
          <w:bCs/>
        </w:rPr>
      </w:pPr>
      <w:r w:rsidRPr="00907C38">
        <w:rPr>
          <w:b/>
        </w:rPr>
        <w:t>Atbilde:</w:t>
      </w:r>
      <w:r w:rsidRPr="00907C38">
        <w:t xml:space="preserve"> </w:t>
      </w:r>
      <w:r w:rsidR="0081379B" w:rsidRPr="00907C38">
        <w:t>Nē. 4.2.kritērija izvērtēšanai par jaunu produktu esamību un ieviešanu ražošanā tiks ņemts vērā zvērināta revidenta atzinums</w:t>
      </w:r>
      <w:r w:rsidR="00ED34A2" w:rsidRPr="00907C38">
        <w:t xml:space="preserve">. </w:t>
      </w:r>
      <w:r w:rsidR="00ED34A2" w:rsidRPr="00907C38">
        <w:rPr>
          <w:bCs/>
        </w:rPr>
        <w:t>Papildus norādām, ka revidenta atzinumā jānorāda eksporta apjoms no tiem jaunajiem produktiem, par kuriem komersants jau ir sniedzis statistikas pārskatus Centrālai statistikas pārvaldei (ja tādi ir sniegti) un komersantam, kuram ir eksporta apjoms no jauniem produktiem, pārskatos jābūt norādītām P&amp;A izmaksām.</w:t>
      </w:r>
    </w:p>
    <w:p w:rsidR="00E812E0" w:rsidRPr="00907C38" w:rsidRDefault="00E812E0" w:rsidP="00907C38">
      <w:pPr>
        <w:jc w:val="both"/>
      </w:pPr>
    </w:p>
    <w:p w:rsidR="00E812E0" w:rsidRPr="00E05F54" w:rsidRDefault="00E05F54" w:rsidP="00907C38">
      <w:pPr>
        <w:jc w:val="both"/>
        <w:rPr>
          <w:b/>
          <w:sz w:val="22"/>
          <w:szCs w:val="22"/>
        </w:rPr>
      </w:pPr>
      <w:r w:rsidRPr="00E05F54">
        <w:rPr>
          <w:b/>
          <w:sz w:val="22"/>
          <w:szCs w:val="22"/>
        </w:rPr>
        <w:t xml:space="preserve">Jautājums: </w:t>
      </w:r>
    </w:p>
    <w:p w:rsidR="00E812E0" w:rsidRPr="00907C38" w:rsidRDefault="00E812E0" w:rsidP="00907C38">
      <w:pPr>
        <w:jc w:val="both"/>
      </w:pPr>
      <w:r w:rsidRPr="00907C38">
        <w:t>Ja visiem KC sadarbības partneriem nav noslēgts 2015. gada pārskats, kā rezultātā visi kopējie dati tiek sniegti par 2014. gadu., vai katra individuālā uzņēmuma atbilstību grūtības nonākuša komersanta statusam CFLC vērtē pēc pēdējā noslēgtā gada šim uzņēmumam, kas var būt arī 2015. gads un nesaskan ar apkopojuma tabulās norādīto?</w:t>
      </w:r>
    </w:p>
    <w:p w:rsidR="00E812E0" w:rsidRPr="00907C38" w:rsidRDefault="00E812E0" w:rsidP="00907C38">
      <w:pPr>
        <w:jc w:val="both"/>
      </w:pPr>
    </w:p>
    <w:p w:rsidR="00E812E0" w:rsidRPr="00907C38" w:rsidRDefault="00E812E0" w:rsidP="00907C38">
      <w:pPr>
        <w:jc w:val="both"/>
      </w:pPr>
      <w:r w:rsidRPr="00907C38">
        <w:rPr>
          <w:b/>
        </w:rPr>
        <w:t>Atbilde:</w:t>
      </w:r>
      <w:r w:rsidRPr="00907C38">
        <w:t xml:space="preserve"> </w:t>
      </w:r>
      <w:r w:rsidR="00ED34A2" w:rsidRPr="00907C38">
        <w:t>Jā, grūtībās nonākuša komersanta statuss tiks vērtēts pēc pēdējā noslēgtā gada pārskata konkrētajam komersantam.</w:t>
      </w:r>
    </w:p>
    <w:p w:rsidR="00E812E0" w:rsidRPr="00907C38" w:rsidRDefault="00E812E0" w:rsidP="00907C38">
      <w:pPr>
        <w:jc w:val="both"/>
      </w:pPr>
    </w:p>
    <w:p w:rsidR="00E05F54" w:rsidRPr="00E05F54" w:rsidRDefault="00E05F54" w:rsidP="00907C38">
      <w:pPr>
        <w:jc w:val="both"/>
        <w:rPr>
          <w:b/>
        </w:rPr>
      </w:pPr>
      <w:r w:rsidRPr="00E05F54">
        <w:rPr>
          <w:b/>
        </w:rPr>
        <w:t xml:space="preserve">Jautājums: </w:t>
      </w:r>
    </w:p>
    <w:p w:rsidR="00E812E0" w:rsidRPr="00907C38" w:rsidRDefault="00E812E0" w:rsidP="00907C38">
      <w:pPr>
        <w:jc w:val="both"/>
      </w:pPr>
      <w:r w:rsidRPr="00907C38">
        <w:t>Atbildē par jauniem produktiem (publicēts 08.04.2016), norādījāt, ka “..komersantam, kuram ir eksporta apjoms no jauniem produktiem, pārskatos jābūt norādītām P&amp;A izmaksām.”. Vai eksporta apjoms no jauniem produktiem tiks ieskaitīts (vērtēts), ja P&amp;A izmaksas neparādās gada pārskatā, bet ir iesniegts revidenta atzinums par to esamību?</w:t>
      </w:r>
    </w:p>
    <w:p w:rsidR="00E812E0" w:rsidRPr="00907C38" w:rsidRDefault="00E812E0" w:rsidP="00907C38">
      <w:pPr>
        <w:jc w:val="both"/>
      </w:pPr>
    </w:p>
    <w:p w:rsidR="00E812E0" w:rsidRDefault="00E812E0" w:rsidP="00907C38">
      <w:pPr>
        <w:jc w:val="both"/>
      </w:pPr>
      <w:r w:rsidRPr="00907C38">
        <w:rPr>
          <w:b/>
        </w:rPr>
        <w:t>Atbilde:</w:t>
      </w:r>
      <w:r w:rsidRPr="00907C38">
        <w:t xml:space="preserve"> </w:t>
      </w:r>
      <w:r w:rsidR="00ED34A2" w:rsidRPr="00907C38">
        <w:t>Jā</w:t>
      </w:r>
    </w:p>
    <w:p w:rsidR="00BB350A" w:rsidRDefault="00BB350A" w:rsidP="00907C38">
      <w:pPr>
        <w:jc w:val="both"/>
      </w:pPr>
    </w:p>
    <w:p w:rsidR="00BB350A" w:rsidRPr="00E05F54" w:rsidRDefault="00E05F54" w:rsidP="00907C38">
      <w:pPr>
        <w:jc w:val="both"/>
        <w:rPr>
          <w:b/>
        </w:rPr>
      </w:pPr>
      <w:r w:rsidRPr="00E05F54">
        <w:rPr>
          <w:b/>
        </w:rPr>
        <w:lastRenderedPageBreak/>
        <w:t xml:space="preserve">Jautājums: </w:t>
      </w:r>
    </w:p>
    <w:p w:rsidR="00E05F54" w:rsidRDefault="00E05F54" w:rsidP="00907C38">
      <w:pPr>
        <w:jc w:val="both"/>
      </w:pPr>
    </w:p>
    <w:p w:rsidR="00BB350A" w:rsidRPr="00E05F54" w:rsidRDefault="00BB350A" w:rsidP="00E05F54">
      <w:pPr>
        <w:jc w:val="both"/>
      </w:pPr>
      <w:r w:rsidRPr="00E05F54">
        <w:t xml:space="preserve">Lūgums skaidrot, kā tiek definēta “pieredze projektu vadīšanā” KC programmas kontekstā, kas tiek izmantota projektu iesniegumu vērtēšanas kritērijā 2.1. “Kompetences centru vadītāju pieredze”? </w:t>
      </w:r>
    </w:p>
    <w:p w:rsidR="00E05F54" w:rsidRPr="00E05F54" w:rsidRDefault="00E05F54" w:rsidP="00E05F54">
      <w:pPr>
        <w:jc w:val="both"/>
      </w:pPr>
    </w:p>
    <w:p w:rsidR="008F0950" w:rsidRPr="00E05F54" w:rsidRDefault="00BB350A" w:rsidP="00E05F54">
      <w:pPr>
        <w:jc w:val="both"/>
      </w:pPr>
      <w:r w:rsidRPr="00E05F54">
        <w:rPr>
          <w:b/>
        </w:rPr>
        <w:t>Atbilde:</w:t>
      </w:r>
      <w:r w:rsidRPr="00E05F54">
        <w:t xml:space="preserve"> </w:t>
      </w:r>
      <w:r w:rsidR="008F0950" w:rsidRPr="00E05F54">
        <w:t xml:space="preserve">Kvalitātes kritērija 2.1. “Kompetences centra vadītāja pieredze” kontekstā ar “pieredzi projektu vadīšanā” tiek saprasta pieredze tādu projektu vadīšanā, kas ir ekvivalenta uzņēmuma vadīšanai, tas ir, pieredze </w:t>
      </w:r>
      <w:r w:rsidR="008F0950" w:rsidRPr="00E05F54">
        <w:rPr>
          <w:b/>
          <w:bCs/>
          <w:u w:val="single"/>
        </w:rPr>
        <w:t>patstāvīgu</w:t>
      </w:r>
      <w:r w:rsidR="008F0950" w:rsidRPr="00E05F54">
        <w:t xml:space="preserve"> projektu vadīšanā, kas iekļauj projekta vadības komandas izveidi un uzraudzību, vadīšanas uzdevumu organizatorisko struktūru, plānošanu, t.sk. finanšu, tehnikas un citu līdzekļu plānošanu un uzraudzību </w:t>
      </w:r>
      <w:proofErr w:type="spellStart"/>
      <w:r w:rsidR="008F0950" w:rsidRPr="00E05F54">
        <w:t>utml</w:t>
      </w:r>
      <w:proofErr w:type="spellEnd"/>
      <w:r w:rsidR="008F0950" w:rsidRPr="00E05F54">
        <w:t>.</w:t>
      </w:r>
    </w:p>
    <w:p w:rsidR="00BB350A" w:rsidRDefault="00BB350A" w:rsidP="00E05F54">
      <w:pPr>
        <w:jc w:val="both"/>
        <w:rPr>
          <w:color w:val="FF0000"/>
          <w:highlight w:val="yellow"/>
        </w:rPr>
      </w:pPr>
    </w:p>
    <w:p w:rsidR="00BB350A" w:rsidRPr="00E05F54" w:rsidRDefault="00E05F54" w:rsidP="00E05F54">
      <w:pPr>
        <w:jc w:val="both"/>
        <w:rPr>
          <w:b/>
        </w:rPr>
      </w:pPr>
      <w:r w:rsidRPr="00E05F54">
        <w:rPr>
          <w:b/>
        </w:rPr>
        <w:t xml:space="preserve">Jautājums: </w:t>
      </w:r>
    </w:p>
    <w:p w:rsidR="00BB350A" w:rsidRPr="00E05F54" w:rsidRDefault="00BB350A" w:rsidP="00E05F54">
      <w:r w:rsidRPr="00E05F54">
        <w:t>Vai kritērija 2.1. “Kompetences centru vadītāju pieredze” izvērtēšanā tiks ņemta vērā (ieskaitīta) pieredze, kas gūta projekta vadītāja amatā uzņēmuma ietvaros, nodrošinot atsevišķu saimniecisku projektu vadību un īstenošanu?</w:t>
      </w:r>
    </w:p>
    <w:p w:rsidR="007A697D" w:rsidRPr="00E05F54" w:rsidRDefault="007A697D" w:rsidP="007A697D"/>
    <w:p w:rsidR="007A697D" w:rsidRPr="00E05F54" w:rsidRDefault="007A697D" w:rsidP="007A697D">
      <w:r w:rsidRPr="00E05F54">
        <w:rPr>
          <w:b/>
        </w:rPr>
        <w:t>Atbilde:</w:t>
      </w:r>
      <w:r w:rsidRPr="00E05F54">
        <w:t xml:space="preserve"> Nē</w:t>
      </w:r>
    </w:p>
    <w:p w:rsidR="00BB350A" w:rsidRPr="00E05F54" w:rsidRDefault="00BB350A" w:rsidP="00907C38">
      <w:pPr>
        <w:jc w:val="both"/>
      </w:pPr>
    </w:p>
    <w:p w:rsidR="008D0064" w:rsidRDefault="008D0064" w:rsidP="00907C38">
      <w:pPr>
        <w:jc w:val="both"/>
      </w:pPr>
    </w:p>
    <w:p w:rsidR="008D0064" w:rsidRPr="00907C38" w:rsidRDefault="008D0064" w:rsidP="00907C38">
      <w:pPr>
        <w:jc w:val="both"/>
      </w:pPr>
    </w:p>
    <w:p w:rsidR="00412BC3" w:rsidRDefault="00412BC3" w:rsidP="00412BC3">
      <w:pPr>
        <w:jc w:val="center"/>
        <w:rPr>
          <w:rFonts w:ascii="Arial" w:hAnsi="Arial" w:cs="Arial"/>
          <w:sz w:val="18"/>
          <w:szCs w:val="18"/>
        </w:rPr>
      </w:pPr>
      <w:r w:rsidRPr="00AC1E14">
        <w:rPr>
          <w:rFonts w:asciiTheme="minorHAnsi" w:hAnsiTheme="minorHAnsi"/>
          <w:b/>
          <w:u w:val="single"/>
        </w:rPr>
        <w:t>Projektu</w:t>
      </w:r>
      <w:r w:rsidRPr="00C04EC1">
        <w:rPr>
          <w:b/>
          <w:u w:val="single"/>
        </w:rPr>
        <w:t xml:space="preserve"> īstenošanas (izmaksu </w:t>
      </w:r>
      <w:proofErr w:type="spellStart"/>
      <w:r w:rsidRPr="00C04EC1">
        <w:rPr>
          <w:b/>
          <w:u w:val="single"/>
        </w:rPr>
        <w:t>attiecināmības</w:t>
      </w:r>
      <w:proofErr w:type="spellEnd"/>
      <w:r w:rsidRPr="00C04EC1">
        <w:rPr>
          <w:b/>
          <w:u w:val="single"/>
        </w:rPr>
        <w:t>) jautājumi</w:t>
      </w:r>
    </w:p>
    <w:p w:rsidR="00412BC3" w:rsidRDefault="00412BC3" w:rsidP="00412BC3">
      <w:pPr>
        <w:rPr>
          <w:rFonts w:ascii="Arial" w:hAnsi="Arial" w:cs="Arial"/>
          <w:sz w:val="18"/>
          <w:szCs w:val="18"/>
        </w:rPr>
      </w:pPr>
    </w:p>
    <w:p w:rsidR="00412BC3" w:rsidRPr="008F4932" w:rsidRDefault="00412BC3" w:rsidP="00412BC3">
      <w:pPr>
        <w:pStyle w:val="PlainText"/>
        <w:jc w:val="both"/>
        <w:rPr>
          <w:rFonts w:asciiTheme="minorHAnsi" w:hAnsiTheme="minorHAnsi"/>
          <w:color w:val="FF0000"/>
          <w:szCs w:val="22"/>
        </w:rPr>
      </w:pPr>
    </w:p>
    <w:p w:rsidR="00412BC3" w:rsidRDefault="00412BC3" w:rsidP="00412BC3"/>
    <w:p w:rsidR="008F0950" w:rsidRPr="008F0950" w:rsidRDefault="008F0950" w:rsidP="00896160">
      <w:pPr>
        <w:rPr>
          <w:b/>
        </w:rPr>
      </w:pPr>
      <w:r w:rsidRPr="008F0950">
        <w:rPr>
          <w:b/>
        </w:rPr>
        <w:t xml:space="preserve">Jautājums: </w:t>
      </w:r>
    </w:p>
    <w:p w:rsidR="008F0950" w:rsidRPr="008F0950" w:rsidRDefault="008F0950" w:rsidP="00896160"/>
    <w:p w:rsidR="00896160" w:rsidRPr="008F0950" w:rsidRDefault="00896160" w:rsidP="00896160">
      <w:pPr>
        <w:rPr>
          <w:sz w:val="22"/>
          <w:szCs w:val="22"/>
        </w:rPr>
      </w:pPr>
      <w:r w:rsidRPr="008F0950">
        <w:t>Ministru kabineta noteikumu punkts Nr. 29, nosakot 200’000 EUR un 24’426 EUR +0.64% ierobežojumus, lieto terminu “finansējuma apjoms”.</w:t>
      </w:r>
    </w:p>
    <w:p w:rsidR="00896160" w:rsidRPr="008F0950" w:rsidRDefault="00896160" w:rsidP="00896160">
      <w:r w:rsidRPr="008F0950">
        <w:t>Pēc analoģijas ar citiem MK noteikumu punktiem (1.3, 5, 17.6 u.c.) var pieņemt, ka ar vārdu “finansējums” tiek domāts ERAF finansējums jeb grants.</w:t>
      </w:r>
    </w:p>
    <w:p w:rsidR="00896160" w:rsidRPr="008F0950" w:rsidRDefault="00896160" w:rsidP="00896160"/>
    <w:p w:rsidR="00896160" w:rsidRPr="008F0950" w:rsidRDefault="00896160" w:rsidP="00896160">
      <w:r w:rsidRPr="008F0950">
        <w:t>Jūsu skaidrojumā par vadības izmaksu limitu kompetences centru projektos lietots termins “izmaksas”. Tāda pati pieeja ir 8.aprīļa atbildē uz 5.jautājumu par šīm izmaksām.</w:t>
      </w:r>
    </w:p>
    <w:p w:rsidR="00896160" w:rsidRPr="008F0950" w:rsidRDefault="00896160" w:rsidP="00896160"/>
    <w:p w:rsidR="00896160" w:rsidRPr="008F0950" w:rsidRDefault="00896160" w:rsidP="00896160">
      <w:r w:rsidRPr="008F0950">
        <w:t>Līdz ar to jautājums, vai 200’000 EUR ierobežojums 3 gadu periodā nosaka, ka  (1) attiecīgo attiecināmo izmaksu pozīciju summa nedrīkst pārsniegt 200’000 EUR vai ka (2) grants par šīm izmaksām nedrīkst pārsniegt 200’000 EUR?</w:t>
      </w:r>
    </w:p>
    <w:p w:rsidR="007A697D" w:rsidRDefault="007A697D" w:rsidP="008F0950">
      <w:pPr>
        <w:jc w:val="both"/>
        <w:rPr>
          <w:color w:val="FF0000"/>
          <w:highlight w:val="yellow"/>
        </w:rPr>
      </w:pPr>
    </w:p>
    <w:p w:rsidR="008F0950" w:rsidRPr="008F0950" w:rsidRDefault="007A697D" w:rsidP="008F0950">
      <w:pPr>
        <w:jc w:val="both"/>
        <w:rPr>
          <w:sz w:val="22"/>
          <w:szCs w:val="22"/>
        </w:rPr>
      </w:pPr>
      <w:r w:rsidRPr="008F0950">
        <w:rPr>
          <w:b/>
        </w:rPr>
        <w:t>Atbilde:</w:t>
      </w:r>
      <w:r w:rsidRPr="008F0950">
        <w:t xml:space="preserve"> </w:t>
      </w:r>
      <w:r w:rsidR="008F0950" w:rsidRPr="008F0950">
        <w:t xml:space="preserve">Šajā gadījumā ar vārdu “finansējums” tiek uzskatītas publiskā finansējuma daļa jeb grants. Tas nozīmē, ka kopējās attiecināmās izmaksas atbilstoši MK noteikumu Nr.2 30.1.2.; 30.1.3. un 30.1.5. apakšpunktos minētajām darbībām, kas ir </w:t>
      </w:r>
      <w:proofErr w:type="spellStart"/>
      <w:r w:rsidR="008F0950" w:rsidRPr="008F0950">
        <w:rPr>
          <w:i/>
          <w:iCs/>
        </w:rPr>
        <w:t>de</w:t>
      </w:r>
      <w:proofErr w:type="spellEnd"/>
      <w:r w:rsidR="008F0950" w:rsidRPr="008F0950">
        <w:rPr>
          <w:i/>
          <w:iCs/>
        </w:rPr>
        <w:t xml:space="preserve"> </w:t>
      </w:r>
      <w:proofErr w:type="spellStart"/>
      <w:r w:rsidR="008F0950" w:rsidRPr="008F0950">
        <w:rPr>
          <w:i/>
          <w:iCs/>
        </w:rPr>
        <w:t>minimis</w:t>
      </w:r>
      <w:proofErr w:type="spellEnd"/>
      <w:r w:rsidR="008F0950" w:rsidRPr="008F0950">
        <w:rPr>
          <w:i/>
          <w:iCs/>
        </w:rPr>
        <w:t>,</w:t>
      </w:r>
      <w:r w:rsidR="008F0950" w:rsidRPr="008F0950">
        <w:t xml:space="preserve"> nevar pārsniegt 200 000 EUR ierobežojumu trīs gadu periodā.</w:t>
      </w:r>
    </w:p>
    <w:p w:rsidR="007A697D" w:rsidRPr="008F0950" w:rsidRDefault="007A697D" w:rsidP="00896160">
      <w:pPr>
        <w:rPr>
          <w:highlight w:val="yellow"/>
        </w:rPr>
      </w:pPr>
    </w:p>
    <w:p w:rsidR="00E05F54" w:rsidRPr="00E05F54" w:rsidRDefault="00E05F54" w:rsidP="00E05F54">
      <w:pPr>
        <w:jc w:val="both"/>
        <w:rPr>
          <w:b/>
        </w:rPr>
      </w:pPr>
      <w:r w:rsidRPr="00E05F54">
        <w:rPr>
          <w:b/>
        </w:rPr>
        <w:t xml:space="preserve">Jautājums: </w:t>
      </w:r>
    </w:p>
    <w:p w:rsidR="00896160" w:rsidRPr="00E05F54" w:rsidRDefault="00896160" w:rsidP="00E05F54">
      <w:pPr>
        <w:jc w:val="both"/>
      </w:pPr>
      <w:r w:rsidRPr="00E05F54">
        <w:t xml:space="preserve">Tas pats jautājums par ierobežojumu KC un projekta vadības atalgojumam, ko aprēķina kā 24’426 EUR +0.64% no kopējām tiešajām attiecināmajām izmaksām – vai (1) attiecināmo KC un projekta vadības izmaksu summa nedrīkst pārsniegt noteikto </w:t>
      </w:r>
      <w:r w:rsidRPr="00E05F54">
        <w:lastRenderedPageBreak/>
        <w:t>ierobežojumu vai ka (2) grants par šīm izmaksām nedrīkst pārsniegt noteikto ierobežojumu?</w:t>
      </w:r>
    </w:p>
    <w:p w:rsidR="00412BC3" w:rsidRPr="00E05F54" w:rsidRDefault="00412BC3" w:rsidP="00E05F54">
      <w:pPr>
        <w:jc w:val="both"/>
      </w:pPr>
    </w:p>
    <w:p w:rsidR="00896160" w:rsidRPr="00E05F54" w:rsidRDefault="00896160" w:rsidP="00E05F54">
      <w:pPr>
        <w:jc w:val="both"/>
      </w:pPr>
      <w:r w:rsidRPr="00E05F54">
        <w:rPr>
          <w:b/>
        </w:rPr>
        <w:t>Atbilde:</w:t>
      </w:r>
      <w:r w:rsidRPr="00E05F54">
        <w:t xml:space="preserve"> </w:t>
      </w:r>
      <w:r w:rsidR="008F0950" w:rsidRPr="00E05F54">
        <w:t>Savukārt attiecībā uz MK noteikumos Nr.2 30.1.2.2. un 30.1.4.1.apakšpunktos norādītajām izmaksām ar vārdu salikumu “maksimālais finansējuma apjoms gadā” saprot attiecināmās izmaksas, tas ir, gan publisko, gan privāto finansējuma daļu kopā. </w:t>
      </w:r>
    </w:p>
    <w:sectPr w:rsidR="00896160" w:rsidRPr="00E05F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mic Sans MS">
    <w:panose1 w:val="030F0702030302020204"/>
    <w:charset w:val="BA"/>
    <w:family w:val="script"/>
    <w:pitch w:val="variable"/>
    <w:sig w:usb0="00000287" w:usb1="40000013"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E22A1"/>
    <w:rsid w:val="002B5282"/>
    <w:rsid w:val="00412BC3"/>
    <w:rsid w:val="007A697D"/>
    <w:rsid w:val="0081379B"/>
    <w:rsid w:val="00896160"/>
    <w:rsid w:val="008D0064"/>
    <w:rsid w:val="008D5AA9"/>
    <w:rsid w:val="008F0950"/>
    <w:rsid w:val="00907C38"/>
    <w:rsid w:val="0092471D"/>
    <w:rsid w:val="00927E7A"/>
    <w:rsid w:val="0097017F"/>
    <w:rsid w:val="009F0A63"/>
    <w:rsid w:val="00BB350A"/>
    <w:rsid w:val="00BE1377"/>
    <w:rsid w:val="00E05F54"/>
    <w:rsid w:val="00E76FD4"/>
    <w:rsid w:val="00E812E0"/>
    <w:rsid w:val="00ED34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954D8FF1</Template>
  <TotalTime>392</TotalTime>
  <Pages>3</Pages>
  <Words>3233</Words>
  <Characters>1844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5</cp:revision>
  <dcterms:created xsi:type="dcterms:W3CDTF">2016-04-22T11:03:00Z</dcterms:created>
  <dcterms:modified xsi:type="dcterms:W3CDTF">2016-04-29T13:44:00Z</dcterms:modified>
</cp:coreProperties>
</file>