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Default="00E812E0">
      <w:r w:rsidRPr="00C04EC1">
        <w:rPr>
          <w:b/>
          <w:u w:val="single"/>
        </w:rPr>
        <w:t>Projekta iesnieguma sagatavošanas, iesniegšanas un vērtēšanas jautājumi</w:t>
      </w:r>
    </w:p>
    <w:p w:rsidR="00E812E0" w:rsidRDefault="00E812E0" w:rsidP="00E812E0"/>
    <w:p w:rsidR="009E5EAB" w:rsidRPr="00E65FD0" w:rsidRDefault="009E5EAB" w:rsidP="009E5EAB">
      <w:pPr>
        <w:ind w:left="720"/>
        <w:jc w:val="both"/>
      </w:pPr>
      <w:r w:rsidRPr="009E5EAB">
        <w:rPr>
          <w:b/>
        </w:rPr>
        <w:t>1.</w:t>
      </w:r>
      <w:r>
        <w:rPr>
          <w:b/>
        </w:rPr>
        <w:t>J</w:t>
      </w:r>
      <w:r w:rsidRPr="009E5EAB">
        <w:rPr>
          <w:b/>
        </w:rPr>
        <w:t>autājums:</w:t>
      </w:r>
      <w:r>
        <w:t xml:space="preserve"> </w:t>
      </w:r>
      <w:r w:rsidRPr="00E65FD0">
        <w:t>Saskaņā ar Kvalitātes kritērija Nr. 4 skaidrojumu vērtēšanas kritēriju piemērošanas metodikā projekta finansēšanas kapacitāti var apliecināt līgums, kas noslēgts ar saistīto personu par projekta īstenošanai nepieciešamā finansējuma nodrošināšanu, ja šīs saistītās personas pēdējā noslēgtajā gada pārskatā norādītais pašu kapitāls veido vismaz 100 % no projekta kopējām izmaksām”. Vai saistītās personas pašu kapitālam jābūt 100% apmērā no projekta kopējām attiecināmām izmaksām vai projekta kopējām attiecināmām un neattiecināmām investīciju izmaksām?</w:t>
      </w:r>
    </w:p>
    <w:p w:rsidR="009E5EAB" w:rsidRPr="00E65FD0" w:rsidRDefault="009E5EAB" w:rsidP="009E5EAB">
      <w:pPr>
        <w:jc w:val="both"/>
      </w:pPr>
    </w:p>
    <w:p w:rsidR="009E5EAB" w:rsidRPr="00E65FD0" w:rsidRDefault="009E5EAB" w:rsidP="009E5EAB">
      <w:pPr>
        <w:jc w:val="both"/>
        <w:rPr>
          <w:i/>
        </w:rPr>
      </w:pPr>
      <w:r w:rsidRPr="009E5EAB">
        <w:rPr>
          <w:b/>
          <w:i/>
        </w:rPr>
        <w:t>Atbilde:</w:t>
      </w:r>
      <w:r w:rsidRPr="00E65FD0">
        <w:rPr>
          <w:i/>
        </w:rPr>
        <w:t xml:space="preserve"> Projekta kopējām izmaksām, ko veido gan projekta attiecināmās, gan neattiecināmās izmaksas.</w:t>
      </w:r>
    </w:p>
    <w:p w:rsidR="00FB2B10" w:rsidRDefault="00FB2B10" w:rsidP="00A130B9">
      <w:pPr>
        <w:rPr>
          <w:i/>
          <w:color w:val="538135" w:themeColor="accent6" w:themeShade="BF"/>
        </w:rPr>
      </w:pPr>
    </w:p>
    <w:p w:rsidR="009E5EAB" w:rsidRPr="00E65FD0" w:rsidRDefault="009E5EAB" w:rsidP="009E5EAB">
      <w:pPr>
        <w:ind w:left="720"/>
        <w:jc w:val="both"/>
      </w:pPr>
      <w:r>
        <w:rPr>
          <w:b/>
        </w:rPr>
        <w:t>2.</w:t>
      </w:r>
      <w:r w:rsidRPr="009E5EAB">
        <w:rPr>
          <w:b/>
        </w:rPr>
        <w:t>Jautājums:</w:t>
      </w:r>
      <w:r>
        <w:t xml:space="preserve"> </w:t>
      </w:r>
      <w:r w:rsidRPr="00E65FD0">
        <w:t xml:space="preserve">Vai LR likuma "Par uzņēmumu </w:t>
      </w:r>
      <w:proofErr w:type="spellStart"/>
      <w:r w:rsidRPr="00E65FD0">
        <w:t>ienakuma</w:t>
      </w:r>
      <w:proofErr w:type="spellEnd"/>
      <w:r w:rsidRPr="00E65FD0">
        <w:t xml:space="preserve"> nodokli" 1.panta (3.) daļas regulējums par saistītām personām tiks ņemts vērā arī komersanta statusa (MVK vai lielais) noteikšanai MVK deklarācijas (regula Nr. 651/2014) izpratnē, vai tikai vērtējot pieteicēja atbilstību noteiktiem 1.2.1.4. pasākuma vērtēšanas kritērijiem?</w:t>
      </w:r>
    </w:p>
    <w:p w:rsidR="009E5EAB" w:rsidRPr="00E65FD0" w:rsidRDefault="009E5EAB" w:rsidP="009E5EAB">
      <w:pPr>
        <w:pStyle w:val="ListParagraph"/>
        <w:ind w:left="360"/>
        <w:jc w:val="both"/>
        <w:rPr>
          <w:rFonts w:ascii="Times New Roman" w:hAnsi="Times New Roman"/>
          <w:sz w:val="24"/>
          <w:szCs w:val="24"/>
        </w:rPr>
      </w:pPr>
    </w:p>
    <w:p w:rsidR="009E5EAB" w:rsidRPr="00E65FD0" w:rsidRDefault="009E5EAB" w:rsidP="009E5EAB">
      <w:pPr>
        <w:jc w:val="both"/>
        <w:rPr>
          <w:i/>
        </w:rPr>
      </w:pPr>
      <w:r w:rsidRPr="009E5EAB">
        <w:rPr>
          <w:b/>
          <w:i/>
        </w:rPr>
        <w:t>Atbilde:</w:t>
      </w:r>
      <w:r w:rsidRPr="00E65FD0">
        <w:rPr>
          <w:i/>
        </w:rPr>
        <w:t xml:space="preserve"> Uzņēmumu MVU kategorija tiks noteikts pamatojoties uz Komisijas regulas Nr.651/2014 I pielikuma 2.pantu, ņemot vērā I pielikuma 3.panta 3.punktā norādīto saistītu uzņēmu definīciju. </w:t>
      </w:r>
    </w:p>
    <w:p w:rsidR="009E5EAB" w:rsidRDefault="009E5EAB" w:rsidP="00A130B9">
      <w:pPr>
        <w:rPr>
          <w:i/>
          <w:color w:val="538135" w:themeColor="accent6" w:themeShade="BF"/>
        </w:rPr>
      </w:pPr>
    </w:p>
    <w:p w:rsidR="009E5EAB" w:rsidRPr="00E65FD0" w:rsidRDefault="009E5EAB" w:rsidP="009E5EAB">
      <w:pPr>
        <w:ind w:left="720"/>
        <w:jc w:val="both"/>
      </w:pPr>
      <w:r>
        <w:rPr>
          <w:b/>
        </w:rPr>
        <w:t>3.</w:t>
      </w:r>
      <w:r w:rsidRPr="009E5EAB">
        <w:rPr>
          <w:b/>
        </w:rPr>
        <w:t xml:space="preserve">Jautājums: </w:t>
      </w:r>
      <w:r w:rsidRPr="00E65FD0">
        <w:t xml:space="preserve">Ja ir 2 uzņēmumi, kas kapitāldaļu un </w:t>
      </w:r>
      <w:proofErr w:type="spellStart"/>
      <w:r w:rsidRPr="00E65FD0">
        <w:t>lēmumpieņemšanas</w:t>
      </w:r>
      <w:proofErr w:type="spellEnd"/>
      <w:r w:rsidRPr="00E65FD0">
        <w:t xml:space="preserve"> ziņā nav savstarpēji saistīti, bet tajos vairākuma īpašnieki ir 1.pakāpes radinieki, vai tie regulas Nr. 651/2014 izpratnē tiek uzskatīti par nesaistītiem vai saistītiem uzņēmumiem?</w:t>
      </w:r>
    </w:p>
    <w:p w:rsidR="009E5EAB" w:rsidRPr="00E65FD0" w:rsidRDefault="009E5EAB" w:rsidP="009E5EAB">
      <w:pPr>
        <w:jc w:val="both"/>
      </w:pPr>
    </w:p>
    <w:p w:rsidR="009E5EAB" w:rsidRPr="00E65FD0" w:rsidRDefault="009E5EAB" w:rsidP="009E5EAB">
      <w:pPr>
        <w:jc w:val="both"/>
        <w:rPr>
          <w:i/>
        </w:rPr>
      </w:pPr>
      <w:r w:rsidRPr="009E5EAB">
        <w:rPr>
          <w:b/>
          <w:i/>
        </w:rPr>
        <w:t>Atbilde:</w:t>
      </w:r>
      <w:r w:rsidRPr="00E65FD0">
        <w:rPr>
          <w:i/>
        </w:rPr>
        <w:t xml:space="preserve">  Komisijas regulas Nr.651/2014 I pielikuma 3.panta 3.punktā ir norādīti nosacījumi, kas liecina, ka uzņēmumi tiek uzskatīti par saistītiem. Radniecība pati par sevi nav par pamatu, lai uzņēmumus uzskatītu par saistītiem. </w:t>
      </w:r>
    </w:p>
    <w:p w:rsidR="009E5EAB" w:rsidRPr="00414ED1" w:rsidRDefault="009E5EAB" w:rsidP="00A130B9">
      <w:pPr>
        <w:rPr>
          <w:i/>
          <w:color w:val="538135" w:themeColor="accent6" w:themeShade="BF"/>
        </w:rPr>
      </w:pPr>
    </w:p>
    <w:p w:rsidR="009E5EAB" w:rsidRPr="00E65FD0" w:rsidRDefault="009E5EAB" w:rsidP="009E5EAB">
      <w:pPr>
        <w:ind w:left="720"/>
        <w:jc w:val="both"/>
      </w:pPr>
      <w:r>
        <w:rPr>
          <w:b/>
        </w:rPr>
        <w:t>4.J</w:t>
      </w:r>
      <w:r w:rsidRPr="009E5EAB">
        <w:rPr>
          <w:b/>
        </w:rPr>
        <w:t>autājums:</w:t>
      </w:r>
      <w:r>
        <w:t xml:space="preserve"> </w:t>
      </w:r>
      <w:r w:rsidRPr="00E65FD0">
        <w:t>Lūdzu, sniedziet man izskaidrojumu, kādi ir nosacījumi un to apliecinošie dokumenti pie projekta iesniegšanas, lai apliecinātu projekta iesniedzēja finansēšanas iespējas.</w:t>
      </w:r>
    </w:p>
    <w:p w:rsidR="009E5EAB" w:rsidRPr="00E65FD0" w:rsidRDefault="009E5EAB" w:rsidP="009E5EAB">
      <w:pPr>
        <w:jc w:val="both"/>
      </w:pPr>
    </w:p>
    <w:p w:rsidR="009E5EAB" w:rsidRPr="00E65FD0" w:rsidRDefault="009E5EAB" w:rsidP="009E5EAB">
      <w:pPr>
        <w:ind w:firstLine="720"/>
        <w:jc w:val="both"/>
      </w:pPr>
      <w:r w:rsidRPr="00E65FD0">
        <w:t xml:space="preserve">Cik saprotu, tad pie </w:t>
      </w:r>
      <w:r w:rsidRPr="00E65FD0">
        <w:rPr>
          <w:b/>
          <w:bCs/>
        </w:rPr>
        <w:t>līguma slēgšanas attiecas MK 293 45.pants</w:t>
      </w:r>
      <w:r w:rsidRPr="00E65FD0">
        <w:t xml:space="preserve">. </w:t>
      </w:r>
    </w:p>
    <w:p w:rsidR="009E5EAB" w:rsidRPr="00E65FD0" w:rsidRDefault="009E5EAB" w:rsidP="009E5EAB">
      <w:pPr>
        <w:ind w:left="720"/>
        <w:jc w:val="both"/>
      </w:pPr>
      <w:r w:rsidRPr="00E65FD0">
        <w:t xml:space="preserve">Bet pie </w:t>
      </w:r>
      <w:r w:rsidRPr="00E65FD0">
        <w:rPr>
          <w:b/>
          <w:bCs/>
        </w:rPr>
        <w:t>projekta iesniegšanas</w:t>
      </w:r>
      <w:r w:rsidRPr="00E65FD0">
        <w:t xml:space="preserve"> jābūt Eiropas Savienībā reģistrētas </w:t>
      </w:r>
      <w:r w:rsidRPr="00E65FD0">
        <w:rPr>
          <w:b/>
          <w:bCs/>
        </w:rPr>
        <w:t>kredītiestādes izsniegtu</w:t>
      </w:r>
      <w:r w:rsidRPr="00E65FD0">
        <w:t xml:space="preserve"> pirmā pieprasījuma līguma izpildes </w:t>
      </w:r>
      <w:r w:rsidRPr="00E65FD0">
        <w:rPr>
          <w:b/>
          <w:bCs/>
        </w:rPr>
        <w:t>garantijas vēstuli</w:t>
      </w:r>
      <w:r w:rsidRPr="00E65FD0">
        <w:t xml:space="preserve"> četru procentu vērtībā no pieprasītā publiskā finansējuma, kas nodrošina garantijas izmaksu MK noteikumu norādītajos gadījumos.</w:t>
      </w:r>
    </w:p>
    <w:p w:rsidR="009E5EAB" w:rsidRPr="00E65FD0" w:rsidRDefault="009E5EAB" w:rsidP="009E5EAB">
      <w:pPr>
        <w:ind w:firstLine="720"/>
        <w:jc w:val="both"/>
        <w:rPr>
          <w:b/>
          <w:bCs/>
        </w:rPr>
      </w:pPr>
      <w:r w:rsidRPr="00E65FD0">
        <w:rPr>
          <w:b/>
          <w:bCs/>
        </w:rPr>
        <w:t>Vai tas ir pareizi saprasts?</w:t>
      </w:r>
    </w:p>
    <w:p w:rsidR="009E5EAB" w:rsidRPr="00E65FD0" w:rsidRDefault="009E5EAB" w:rsidP="009E5EAB">
      <w:pPr>
        <w:jc w:val="both"/>
        <w:rPr>
          <w:b/>
          <w:bCs/>
        </w:rPr>
      </w:pPr>
    </w:p>
    <w:p w:rsidR="009E5EAB" w:rsidRPr="00E65FD0" w:rsidRDefault="009E5EAB" w:rsidP="009E5EAB">
      <w:pPr>
        <w:jc w:val="both"/>
        <w:rPr>
          <w:i/>
          <w:iCs/>
        </w:rPr>
      </w:pPr>
      <w:r w:rsidRPr="00E65FD0">
        <w:rPr>
          <w:b/>
          <w:bCs/>
        </w:rPr>
        <w:t xml:space="preserve">Atbilde: </w:t>
      </w:r>
      <w:r w:rsidRPr="00E65FD0">
        <w:rPr>
          <w:bCs/>
        </w:rPr>
        <w:t xml:space="preserve">Jā. </w:t>
      </w:r>
      <w:r w:rsidRPr="00E65FD0">
        <w:rPr>
          <w:i/>
          <w:iCs/>
        </w:rPr>
        <w:t>Papildus norādām, ka kvalitātes kritērija Nr. 4 “Projekta gatavības pakāpe” vērtēšanā tiek ņemts vērā arī tas, vai ir noslēgts aizdevuma līgums (vai nodrošināta cita finanšu resursu pieejamība saskaņā ar MK noteikumu 45.punkta nosacījumiem). Projekta iesniedzēja finansiālā kapacitāte tiek vērtēta arī ņemot vērā projekta iesniegumā, biznesa plānā un gada pārskatos esošo informāciju.</w:t>
      </w:r>
    </w:p>
    <w:p w:rsidR="009E5EAB" w:rsidRPr="00E65FD0" w:rsidRDefault="009E5EAB" w:rsidP="009E5EAB">
      <w:pPr>
        <w:jc w:val="both"/>
      </w:pPr>
    </w:p>
    <w:p w:rsidR="009E5EAB" w:rsidRPr="00E65FD0" w:rsidRDefault="009E5EAB" w:rsidP="009E5EAB">
      <w:pPr>
        <w:jc w:val="both"/>
        <w:rPr>
          <w:b/>
          <w:bCs/>
          <w:highlight w:val="yellow"/>
        </w:rPr>
      </w:pPr>
    </w:p>
    <w:p w:rsidR="009E5EAB" w:rsidRPr="00E65FD0" w:rsidRDefault="009E5EAB" w:rsidP="009E5EAB">
      <w:pPr>
        <w:jc w:val="both"/>
      </w:pPr>
    </w:p>
    <w:p w:rsidR="009E5EAB" w:rsidRPr="00E65FD0" w:rsidRDefault="009E5EAB" w:rsidP="009E5EAB">
      <w:pPr>
        <w:ind w:left="720"/>
        <w:jc w:val="both"/>
        <w:rPr>
          <w:b/>
          <w:bCs/>
        </w:rPr>
      </w:pPr>
      <w:r w:rsidRPr="00E65FD0">
        <w:t>Ja kopējā projekta summa ir 1 000 000, tad publiskais līdzfinansējums ir 35% t.i. 350 000. Tad savi resursi vai piesaistīts ārējais finansējums ir 650 000. šajā sakarā nesaprotu MK 293 32.p , kur minēts par 25% saviem resursiem, kas tad pārējos 40%..…</w:t>
      </w:r>
      <w:r w:rsidRPr="00E65FD0">
        <w:rPr>
          <w:b/>
          <w:bCs/>
        </w:rPr>
        <w:t>kā to saprast?</w:t>
      </w:r>
    </w:p>
    <w:p w:rsidR="009E5EAB" w:rsidRPr="00E65FD0" w:rsidRDefault="009E5EAB" w:rsidP="009E5EAB">
      <w:pPr>
        <w:jc w:val="both"/>
        <w:rPr>
          <w:b/>
          <w:bCs/>
          <w:i/>
        </w:rPr>
      </w:pPr>
    </w:p>
    <w:p w:rsidR="009E5EAB" w:rsidRPr="00E65FD0" w:rsidRDefault="009E5EAB" w:rsidP="009E5EAB">
      <w:pPr>
        <w:jc w:val="both"/>
        <w:rPr>
          <w:i/>
        </w:rPr>
      </w:pPr>
      <w:r w:rsidRPr="00E65FD0">
        <w:rPr>
          <w:b/>
          <w:bCs/>
          <w:i/>
        </w:rPr>
        <w:t xml:space="preserve">Atbilde: </w:t>
      </w:r>
      <w:r w:rsidRPr="00E65FD0">
        <w:rPr>
          <w:bCs/>
          <w:i/>
        </w:rPr>
        <w:t xml:space="preserve">Saskaņā ar MKN 32.punktu finansējuma saņēmējam projekta īstenošanās ir jāiegulda vismaz 25% izmantojot savus resursus vai ārējo finansējumu, kas </w:t>
      </w:r>
      <w:r w:rsidRPr="00E65FD0">
        <w:rPr>
          <w:b/>
          <w:bCs/>
          <w:i/>
        </w:rPr>
        <w:t>nav</w:t>
      </w:r>
      <w:r w:rsidRPr="00E65FD0">
        <w:rPr>
          <w:bCs/>
          <w:i/>
        </w:rPr>
        <w:t xml:space="preserve"> saistīts ar jebkādu </w:t>
      </w:r>
      <w:r w:rsidRPr="00E65FD0">
        <w:rPr>
          <w:b/>
          <w:bCs/>
          <w:i/>
        </w:rPr>
        <w:t>komercdarbības atbalstu</w:t>
      </w:r>
      <w:r w:rsidRPr="00E65FD0">
        <w:rPr>
          <w:bCs/>
          <w:i/>
        </w:rPr>
        <w:t xml:space="preserve">, piemēram, kredīts bez valsts galvojuma. Pārējie 40% finansējuma var būt ārējās finansējums, kas </w:t>
      </w:r>
      <w:r w:rsidRPr="00E65FD0">
        <w:rPr>
          <w:b/>
          <w:bCs/>
          <w:i/>
        </w:rPr>
        <w:t>ir</w:t>
      </w:r>
      <w:r w:rsidRPr="00E65FD0">
        <w:rPr>
          <w:bCs/>
          <w:i/>
        </w:rPr>
        <w:t xml:space="preserve"> saistīts ar </w:t>
      </w:r>
      <w:r w:rsidRPr="00E65FD0">
        <w:rPr>
          <w:b/>
          <w:bCs/>
          <w:i/>
        </w:rPr>
        <w:t>komercdarbības atbalstu</w:t>
      </w:r>
      <w:r w:rsidRPr="00E65FD0">
        <w:rPr>
          <w:bCs/>
          <w:i/>
        </w:rPr>
        <w:t xml:space="preserve">, piemēram aizdevums ar valsts galvojumu. </w:t>
      </w:r>
    </w:p>
    <w:p w:rsidR="009E5EAB" w:rsidRPr="00E65FD0" w:rsidRDefault="009E5EAB" w:rsidP="009E5EAB">
      <w:pPr>
        <w:jc w:val="both"/>
        <w:rPr>
          <w:i/>
          <w:iCs/>
        </w:rPr>
      </w:pPr>
    </w:p>
    <w:p w:rsidR="009E5EAB" w:rsidRPr="00E65FD0" w:rsidRDefault="009E5EAB" w:rsidP="009E5EAB">
      <w:pPr>
        <w:ind w:left="720"/>
        <w:jc w:val="both"/>
        <w:rPr>
          <w:i/>
          <w:iCs/>
        </w:rPr>
      </w:pPr>
      <w:r w:rsidRPr="00E65FD0">
        <w:rPr>
          <w:i/>
          <w:iCs/>
        </w:rPr>
        <w:t xml:space="preserve">Finansējuma saņēmējs, izmantojot savus resursus vai ārējo finansējumu, kas nav saistīts ar jebkādu komercdarbības atbalstu, projekta īstenošanā iegulda vismaz 25 % no projekta kopējām attiecināmajām izmaksām saskaņā ar Komisijas regulas Nr. </w:t>
      </w:r>
      <w:hyperlink r:id="rId5" w:tgtFrame="_blank" w:history="1">
        <w:r w:rsidRPr="00E65FD0">
          <w:rPr>
            <w:rStyle w:val="Hyperlink"/>
            <w:i/>
            <w:iCs/>
            <w:color w:val="auto"/>
          </w:rPr>
          <w:t>651/2014</w:t>
        </w:r>
      </w:hyperlink>
      <w:r w:rsidRPr="00E65FD0">
        <w:rPr>
          <w:i/>
          <w:iCs/>
        </w:rPr>
        <w:t xml:space="preserve"> 14. panta 14. punkt (Atbalsta saņēmējam jānodrošina finansiāls ieguldījums vismaz 25 % apmērā no attiecināmajām izmaksām, izmantojot pašu līdzekļus vai ārējo finansējumu, par kuru nav saņemts nekāds publisks atbalsts. Tālākajos reģionos ieguldījumam, ko veic MVU, atbalstu var piešķirt, atbalsta maksimālajai intensitātei pārsniedzot 75 %; šādos gadījumos atlikušo daļu nodrošina kā atbalsta saņēmēja finansiālu ieguldījumu.)</w:t>
      </w:r>
    </w:p>
    <w:p w:rsidR="009E5EAB" w:rsidRPr="00E65FD0" w:rsidRDefault="009E5EAB" w:rsidP="009E5EAB">
      <w:pPr>
        <w:ind w:left="720"/>
        <w:jc w:val="both"/>
        <w:rPr>
          <w:b/>
          <w:bCs/>
        </w:rPr>
      </w:pPr>
      <w:r w:rsidRPr="00E65FD0">
        <w:rPr>
          <w:b/>
          <w:bCs/>
        </w:rPr>
        <w:t>un garantijas vēstules summai šajā piemērā būtu jābūt 4% no 350 000 – 14 000?</w:t>
      </w:r>
    </w:p>
    <w:p w:rsidR="009E5EAB" w:rsidRPr="00E65FD0" w:rsidRDefault="009E5EAB" w:rsidP="009E5EAB">
      <w:pPr>
        <w:jc w:val="both"/>
        <w:rPr>
          <w:b/>
          <w:bCs/>
        </w:rPr>
      </w:pPr>
    </w:p>
    <w:p w:rsidR="009E5EAB" w:rsidRPr="009E5EAB" w:rsidRDefault="009E5EAB" w:rsidP="009E5EAB">
      <w:pPr>
        <w:jc w:val="both"/>
        <w:rPr>
          <w:b/>
          <w:bCs/>
          <w:i/>
        </w:rPr>
      </w:pPr>
      <w:r w:rsidRPr="009E5EAB">
        <w:rPr>
          <w:b/>
          <w:bCs/>
          <w:i/>
        </w:rPr>
        <w:t xml:space="preserve">Atbilde: Jā. </w:t>
      </w:r>
    </w:p>
    <w:p w:rsidR="003211C0" w:rsidRDefault="003211C0" w:rsidP="002D71B6">
      <w:pPr>
        <w:jc w:val="both"/>
        <w:rPr>
          <w:b/>
          <w:u w:val="single"/>
        </w:rPr>
      </w:pPr>
    </w:p>
    <w:p w:rsidR="009E5EAB" w:rsidRPr="00E65FD0" w:rsidRDefault="009E5EAB" w:rsidP="009E5EAB">
      <w:pPr>
        <w:ind w:left="720"/>
        <w:jc w:val="both"/>
      </w:pPr>
      <w:r w:rsidRPr="009E5EAB">
        <w:rPr>
          <w:b/>
        </w:rPr>
        <w:t>5.</w:t>
      </w:r>
      <w:r w:rsidRPr="009E5EAB">
        <w:rPr>
          <w:b/>
        </w:rPr>
        <w:t>Jautājums:</w:t>
      </w:r>
      <w:r w:rsidRPr="00E65FD0">
        <w:t xml:space="preserve"> Vēlos precizēt, vai saskaņā ar 10.05.2016. Ministru kabineta noteikumiem Nr. 293 projekts, kas pēc NACE 2. </w:t>
      </w:r>
      <w:proofErr w:type="spellStart"/>
      <w:r w:rsidRPr="00E65FD0">
        <w:t>red</w:t>
      </w:r>
      <w:proofErr w:type="spellEnd"/>
      <w:r w:rsidRPr="00E65FD0">
        <w:t xml:space="preserve">. tiek īstenots C 10 "Pārtikas produktu ražošana" klasē </w:t>
      </w:r>
      <w:r w:rsidRPr="00E65FD0">
        <w:rPr>
          <w:b/>
          <w:bCs/>
        </w:rPr>
        <w:t>10.72 "Sausiņu un cepumu ražošana; ilgi uzglabājamo konditorejas izstrādājumu un kūku ražošana"</w:t>
      </w:r>
      <w:r w:rsidRPr="00E65FD0">
        <w:t xml:space="preserve">, </w:t>
      </w:r>
      <w:r w:rsidRPr="00E65FD0">
        <w:rPr>
          <w:b/>
          <w:bCs/>
          <w:u w:val="single"/>
        </w:rPr>
        <w:t>nav atbalstāms</w:t>
      </w:r>
      <w:r w:rsidRPr="00E65FD0">
        <w:t>?</w:t>
      </w:r>
    </w:p>
    <w:p w:rsidR="009E5EAB" w:rsidRPr="00E65FD0" w:rsidRDefault="009E5EAB" w:rsidP="009E5EAB">
      <w:pPr>
        <w:pStyle w:val="ListParagraph"/>
        <w:ind w:left="360"/>
        <w:jc w:val="both"/>
        <w:rPr>
          <w:rFonts w:ascii="Times New Roman" w:hAnsi="Times New Roman"/>
          <w:sz w:val="24"/>
          <w:szCs w:val="24"/>
        </w:rPr>
      </w:pPr>
    </w:p>
    <w:p w:rsidR="009E5EAB" w:rsidRPr="00E65FD0" w:rsidRDefault="009E5EAB" w:rsidP="009E5EAB">
      <w:pPr>
        <w:jc w:val="both"/>
        <w:rPr>
          <w:i/>
        </w:rPr>
      </w:pPr>
      <w:r w:rsidRPr="009E5EAB">
        <w:rPr>
          <w:b/>
          <w:i/>
        </w:rPr>
        <w:t>Atbilde:</w:t>
      </w:r>
      <w:r w:rsidRPr="00E65FD0">
        <w:rPr>
          <w:i/>
        </w:rPr>
        <w:t xml:space="preserve"> Norādām, ka saskaņā ar MKN Nr.293 24.punktu atbalsts netiek sniegts primārās lauksaimnieciskās ražošanas nozarē atbilstoši Komisijas regulas Nr.651/2014 1.panta 3.punkta b)apakšpunktā  un 2.panta 9., 10., 11.punktā norādītajam.</w:t>
      </w:r>
    </w:p>
    <w:p w:rsidR="009E5EAB" w:rsidRPr="00E65FD0" w:rsidRDefault="009E5EAB" w:rsidP="009E5EAB">
      <w:pPr>
        <w:ind w:firstLine="720"/>
        <w:jc w:val="both"/>
      </w:pPr>
      <w:r w:rsidRPr="00E65FD0">
        <w:rPr>
          <w:i/>
        </w:rPr>
        <w:t>Papildus vēršam uzmanību, ka kvalitātes kritērija Nr.2 ietvaros tiek vērtēta projekta īstenošanas nozare un tā mērķis ir noteikt projekta ieguldījumu RIS3 ““Augsto un vidēji augsto tehnoloģiju nozaru īpatsvars Latvijas Preču eksportā sasniegšanā”. Minimālais vērtējums kritērijā, lai projekta iesniegums tiktu apstiprināts ir 3 punkti</w:t>
      </w:r>
      <w:r w:rsidRPr="00E65FD0">
        <w:t>.</w:t>
      </w:r>
    </w:p>
    <w:p w:rsidR="009E5EAB" w:rsidRDefault="009E5EAB" w:rsidP="009E5EAB">
      <w:pPr>
        <w:ind w:firstLine="720"/>
        <w:jc w:val="both"/>
        <w:rPr>
          <w:rFonts w:asciiTheme="minorHAnsi" w:hAnsiTheme="minorHAnsi"/>
          <w:color w:val="FF0000"/>
        </w:rPr>
      </w:pPr>
    </w:p>
    <w:p w:rsidR="009E5EAB" w:rsidRDefault="009E5EAB" w:rsidP="002D71B6">
      <w:pPr>
        <w:jc w:val="both"/>
        <w:rPr>
          <w:b/>
          <w:u w:val="single"/>
        </w:rPr>
      </w:pPr>
    </w:p>
    <w:p w:rsidR="00412BC3" w:rsidRPr="002D71B6" w:rsidRDefault="00412BC3" w:rsidP="002D71B6">
      <w:pPr>
        <w:jc w:val="both"/>
      </w:pPr>
      <w:r w:rsidRPr="002D71B6">
        <w:rPr>
          <w:b/>
          <w:u w:val="single"/>
        </w:rPr>
        <w:t xml:space="preserve">Projektu īstenošanas (izmaksu </w:t>
      </w:r>
      <w:proofErr w:type="spellStart"/>
      <w:r w:rsidRPr="002D71B6">
        <w:rPr>
          <w:b/>
          <w:u w:val="single"/>
        </w:rPr>
        <w:t>attiecināmības</w:t>
      </w:r>
      <w:proofErr w:type="spellEnd"/>
      <w:r w:rsidRPr="002D71B6">
        <w:rPr>
          <w:b/>
          <w:u w:val="single"/>
        </w:rPr>
        <w:t>) jautājumi</w:t>
      </w:r>
    </w:p>
    <w:p w:rsidR="00412BC3" w:rsidRPr="002D71B6" w:rsidRDefault="00412BC3" w:rsidP="002D71B6">
      <w:pPr>
        <w:jc w:val="both"/>
      </w:pPr>
    </w:p>
    <w:p w:rsidR="003E3C3D" w:rsidRDefault="003E3C3D" w:rsidP="001B702E">
      <w:pPr>
        <w:pStyle w:val="ListParagraph"/>
        <w:ind w:left="360"/>
        <w:jc w:val="both"/>
        <w:rPr>
          <w:color w:val="FF0000"/>
        </w:rPr>
      </w:pPr>
    </w:p>
    <w:p w:rsidR="003E3C3D" w:rsidRDefault="003E3C3D" w:rsidP="001B702E">
      <w:pPr>
        <w:pStyle w:val="ListParagraph"/>
        <w:ind w:left="360"/>
        <w:jc w:val="both"/>
        <w:rPr>
          <w:color w:val="FF0000"/>
        </w:rPr>
      </w:pPr>
    </w:p>
    <w:p w:rsidR="003E3C3D" w:rsidRPr="009E5EAB" w:rsidRDefault="00056B21"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t xml:space="preserve">Jautājums </w:t>
      </w:r>
      <w:r w:rsidR="003E3C3D" w:rsidRPr="00E65FD0">
        <w:rPr>
          <w:rFonts w:ascii="Times New Roman" w:hAnsi="Times New Roman"/>
          <w:sz w:val="24"/>
          <w:szCs w:val="24"/>
        </w:rPr>
        <w:t xml:space="preserve">Cik detalizētām jābūt eksperimentālās tehnoloģijas prasībām iepirkuma procedūras specifikācijā? Vai minimālā versijā pietiek, ja pasūtītājs </w:t>
      </w:r>
      <w:r w:rsidR="003E3C3D" w:rsidRPr="00E65FD0">
        <w:rPr>
          <w:rFonts w:ascii="Times New Roman" w:hAnsi="Times New Roman"/>
          <w:sz w:val="24"/>
          <w:szCs w:val="24"/>
        </w:rPr>
        <w:lastRenderedPageBreak/>
        <w:t xml:space="preserve">(produktu ražotājs) nodefinē vēlamās eksperimentālās tehnoloģijas gala funkcionalitāti, darbības parametrus un principus, piemēram, ražību, izmantojamos materiālus, elektrības patēriņu, automatizācijas pakāpi, veicamo ražošanas funkciju un sniedzamo rezultātu, maksimālos gabarītus, u.c. minimālās un maksimālās prasības, bet nenodrošina iekārtas rasējumu vai tehnoloģisko projektu. Pēc loģikas iekārtu piegādātājam vislabāk būtu jāzina, no kādām komponentēm veidot eksperimentālo tehnoloģiju un kādam jābūt tehniskā risinājuma rasējumam </w:t>
      </w:r>
      <w:proofErr w:type="spellStart"/>
      <w:r w:rsidR="003E3C3D" w:rsidRPr="00E65FD0">
        <w:rPr>
          <w:rFonts w:ascii="Times New Roman" w:hAnsi="Times New Roman"/>
          <w:sz w:val="24"/>
          <w:szCs w:val="24"/>
        </w:rPr>
        <w:t>utml</w:t>
      </w:r>
      <w:proofErr w:type="spellEnd"/>
      <w:r w:rsidR="003E3C3D" w:rsidRPr="00E65FD0">
        <w:rPr>
          <w:rFonts w:ascii="Times New Roman" w:hAnsi="Times New Roman"/>
          <w:sz w:val="24"/>
          <w:szCs w:val="24"/>
        </w:rPr>
        <w:t>.</w:t>
      </w:r>
    </w:p>
    <w:p w:rsidR="003E3C3D" w:rsidRPr="00E65FD0" w:rsidRDefault="003E3C3D" w:rsidP="00E65FD0">
      <w:pPr>
        <w:jc w:val="both"/>
        <w:rPr>
          <w:i/>
        </w:rPr>
      </w:pPr>
      <w:r w:rsidRPr="009E5EAB">
        <w:rPr>
          <w:b/>
          <w:i/>
        </w:rPr>
        <w:t>Atbilde:</w:t>
      </w:r>
      <w:r w:rsidRPr="00E65FD0">
        <w:rPr>
          <w:i/>
        </w:rPr>
        <w:t xml:space="preserve"> Jā</w:t>
      </w:r>
      <w:r w:rsidR="00056B21" w:rsidRPr="00E65FD0">
        <w:rPr>
          <w:i/>
        </w:rPr>
        <w:t>, finansējuma saņēmējam ir jādefinē vismaz vēlamās eksperimentālās tehnoloģijas gala funkcionalitāte, tehnoloģijas darbības parametrus vai principus.</w:t>
      </w:r>
    </w:p>
    <w:p w:rsidR="003E3C3D" w:rsidRPr="00E65FD0" w:rsidRDefault="003E3C3D" w:rsidP="00E65FD0">
      <w:pPr>
        <w:jc w:val="both"/>
        <w:rPr>
          <w:i/>
        </w:rPr>
      </w:pPr>
    </w:p>
    <w:p w:rsidR="003E3C3D" w:rsidRPr="009E5EAB" w:rsidRDefault="00056B21"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t>Jautājums:</w:t>
      </w:r>
      <w:r w:rsidRPr="00E65FD0">
        <w:rPr>
          <w:rFonts w:ascii="Times New Roman" w:hAnsi="Times New Roman"/>
          <w:sz w:val="24"/>
          <w:szCs w:val="24"/>
        </w:rPr>
        <w:t xml:space="preserve"> </w:t>
      </w:r>
      <w:r w:rsidR="003E3C3D" w:rsidRPr="00E65FD0">
        <w:rPr>
          <w:rFonts w:ascii="Times New Roman" w:hAnsi="Times New Roman"/>
          <w:sz w:val="24"/>
          <w:szCs w:val="24"/>
        </w:rPr>
        <w:t>Saskaņā ar 1.2.1.4. pasākuma informatīvās semināra 21.07.2016. prezentāciju, maksimālais iekārtu testēšanas laiks ražotnē Latvijā var būt 2 mēneši un ja pat testu rezultātā vēl nav iespējams saražot plānoto jauno produktu, projekts ir jānoslēdz un jāturpina testēšanas uzraudzības projektā. Vai tiešām projekts tiks uzskatīts par veiksmīgi pabeigtu, ja iekārta tiks piegādāta saskaņā ar iepirkuma tehnisko specifikāciju, bet testēšanas rezultāti vēl nesniegs iespēju ražot plānoto produktu? </w:t>
      </w:r>
    </w:p>
    <w:p w:rsidR="00E65FD0" w:rsidRDefault="00E65FD0" w:rsidP="00E65FD0">
      <w:pPr>
        <w:jc w:val="both"/>
        <w:rPr>
          <w:i/>
        </w:rPr>
      </w:pPr>
    </w:p>
    <w:p w:rsidR="00056B21" w:rsidRPr="00E65FD0" w:rsidRDefault="00056B21" w:rsidP="00E65FD0">
      <w:pPr>
        <w:jc w:val="both"/>
        <w:rPr>
          <w:i/>
        </w:rPr>
      </w:pPr>
      <w:r w:rsidRPr="009E5EAB">
        <w:rPr>
          <w:b/>
          <w:i/>
        </w:rPr>
        <w:t>Atbilde:</w:t>
      </w:r>
      <w:r w:rsidRPr="00E65FD0">
        <w:rPr>
          <w:i/>
        </w:rPr>
        <w:t xml:space="preserve"> MKN Nr.293 52.2.apakšpunkts nosaka, ka testus var turpināt </w:t>
      </w:r>
      <w:proofErr w:type="spellStart"/>
      <w:r w:rsidRPr="00E65FD0">
        <w:rPr>
          <w:i/>
        </w:rPr>
        <w:t>pēcuzraudzības</w:t>
      </w:r>
      <w:proofErr w:type="spellEnd"/>
      <w:r w:rsidRPr="00E65FD0">
        <w:rPr>
          <w:i/>
        </w:rPr>
        <w:t xml:space="preserve"> periodā, papildus iesniedzot apliecinājumu, ka finansējuma saņēmēja rīcībā ir pietiekami finanšu līdzekļi, lai turpinātu saimniecisko darbību testa režīmā līdz brīdim, kad tiks gūta pilnīga pārliecība, ka eksperimentālā tehnoloģija atbilst plānotajiem kvalitātes, ražīguma un citiem </w:t>
      </w:r>
      <w:r w:rsidR="00F96A59" w:rsidRPr="00E65FD0">
        <w:rPr>
          <w:i/>
        </w:rPr>
        <w:t xml:space="preserve">parametriem, uz kuriem ir balstīts biznesa plāns. Papildus vēršam uzmanību, ka finansējuma saņēmējam projekta īstenošanas un </w:t>
      </w:r>
      <w:proofErr w:type="spellStart"/>
      <w:r w:rsidR="00F96A59" w:rsidRPr="00E65FD0">
        <w:rPr>
          <w:i/>
        </w:rPr>
        <w:t>pēcuzraudzības</w:t>
      </w:r>
      <w:proofErr w:type="spellEnd"/>
      <w:r w:rsidR="00F96A59" w:rsidRPr="00E65FD0">
        <w:rPr>
          <w:i/>
        </w:rPr>
        <w:t xml:space="preserve"> periodā ir jāsasniedz visi rādītāji, parametri un rezultāti, kas norādīti tā projekta iesniegumā, t.sk., biznesa plānā.</w:t>
      </w:r>
    </w:p>
    <w:p w:rsidR="003E3C3D" w:rsidRPr="00E65FD0" w:rsidRDefault="003E3C3D" w:rsidP="00E65FD0">
      <w:pPr>
        <w:jc w:val="both"/>
      </w:pPr>
    </w:p>
    <w:p w:rsidR="003E3C3D" w:rsidRPr="009E5EAB" w:rsidRDefault="00F96A59"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t>Jautājums:</w:t>
      </w:r>
      <w:r w:rsidRPr="00E65FD0">
        <w:rPr>
          <w:rFonts w:ascii="Times New Roman" w:hAnsi="Times New Roman"/>
          <w:sz w:val="24"/>
          <w:szCs w:val="24"/>
        </w:rPr>
        <w:t xml:space="preserve"> </w:t>
      </w:r>
      <w:r w:rsidR="003E3C3D" w:rsidRPr="00E65FD0">
        <w:rPr>
          <w:rFonts w:ascii="Times New Roman" w:hAnsi="Times New Roman"/>
          <w:sz w:val="24"/>
          <w:szCs w:val="24"/>
        </w:rPr>
        <w:t>Saskaņā ar 1.2.1.4. pasākuma informatīvās semināra 21.07.2016. prezentāciju, maksimālais iekārtu testēšanas laiks ražotnē Latvijā var būt 2 mēneši. Vai saprotam pareizi, ka šie 2 mēneši neietver iekārtas uzstādīšanas un palaišanas laiku, kas tipiski nepieciešams arī 9.tehn.gatavības pakāpes iekārtu uzstādīšanai un tipiski ir 1 - 2 mēneši un nav uzskatāma par pētniecības un attīstības darbību?</w:t>
      </w:r>
    </w:p>
    <w:p w:rsidR="00E65FD0" w:rsidRDefault="00E65FD0" w:rsidP="00E65FD0">
      <w:pPr>
        <w:jc w:val="both"/>
        <w:rPr>
          <w:i/>
        </w:rPr>
      </w:pPr>
    </w:p>
    <w:p w:rsidR="00E65FD0" w:rsidRPr="00E65FD0" w:rsidRDefault="00F96A59" w:rsidP="00E65FD0">
      <w:pPr>
        <w:jc w:val="both"/>
        <w:rPr>
          <w:i/>
          <w:iCs/>
        </w:rPr>
      </w:pPr>
      <w:r w:rsidRPr="009E5EAB">
        <w:rPr>
          <w:b/>
          <w:i/>
        </w:rPr>
        <w:t>Atbilde:</w:t>
      </w:r>
      <w:r w:rsidRPr="00E65FD0">
        <w:rPr>
          <w:i/>
        </w:rPr>
        <w:t xml:space="preserve"> Jā, eksperimentālās tehnoloģijas testēšanas laiks pie finansējuma saņēmēja reālā ražošanas vidē var būt </w:t>
      </w:r>
      <w:r w:rsidR="00803650" w:rsidRPr="00E65FD0">
        <w:rPr>
          <w:i/>
        </w:rPr>
        <w:t xml:space="preserve">atbilstoši MKN Nr.293 52.1. un 52.2.apakšpunktā noteiktajam laikam un tas neietver iekārtas uzstādīšanas un palaišanas laiku. </w:t>
      </w:r>
      <w:r w:rsidR="00E65FD0" w:rsidRPr="00E65FD0">
        <w:rPr>
          <w:i/>
        </w:rPr>
        <w:t>Vēršam uzmanību, ka iekārtas uzstādīšanas un palaišanas laiks n</w:t>
      </w:r>
      <w:r w:rsidR="00E65FD0" w:rsidRPr="00E65FD0">
        <w:rPr>
          <w:i/>
          <w:iCs/>
        </w:rPr>
        <w:t>av uzskatāms par P&amp;A, vienlaikus norādām, ka TRL9 projekta ietvaros nav pieļaujams.</w:t>
      </w:r>
    </w:p>
    <w:p w:rsidR="00F96A59" w:rsidRPr="00E65FD0" w:rsidRDefault="00F96A59" w:rsidP="00E65FD0">
      <w:pPr>
        <w:pStyle w:val="ListParagraph"/>
        <w:jc w:val="both"/>
        <w:rPr>
          <w:rFonts w:ascii="Times New Roman" w:hAnsi="Times New Roman"/>
          <w:i/>
          <w:sz w:val="24"/>
          <w:szCs w:val="24"/>
        </w:rPr>
      </w:pPr>
    </w:p>
    <w:p w:rsidR="003E3C3D" w:rsidRPr="00E65FD0" w:rsidRDefault="003E3C3D" w:rsidP="00E65FD0">
      <w:pPr>
        <w:jc w:val="both"/>
        <w:rPr>
          <w:i/>
        </w:rPr>
      </w:pPr>
    </w:p>
    <w:p w:rsidR="003E3C3D" w:rsidRPr="009E5EAB" w:rsidRDefault="009E5EAB"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t>Jautājums:</w:t>
      </w:r>
      <w:r>
        <w:rPr>
          <w:rFonts w:ascii="Times New Roman" w:hAnsi="Times New Roman"/>
          <w:sz w:val="24"/>
          <w:szCs w:val="24"/>
        </w:rPr>
        <w:t xml:space="preserve"> </w:t>
      </w:r>
      <w:r w:rsidR="003E3C3D" w:rsidRPr="00E65FD0">
        <w:rPr>
          <w:rFonts w:ascii="Times New Roman" w:hAnsi="Times New Roman"/>
          <w:sz w:val="24"/>
          <w:szCs w:val="24"/>
        </w:rPr>
        <w:t xml:space="preserve">Saskaņā ar 1.2.1.4. pasākuma informatīvās semināra 21.07.2016. prezentāciju, maksimālais iekārtu testēšanas laiks ražotnē Latvijā var būt 2 mēneši. Ņemot vēra to, ka projekta galvenais mērķis ir pētniecības un attīstība darbība saistībā ar eksperimentālās ražotnes izveidi un projekta īstenošanai ir pieejami 3 gadi, vai būtu tomēr iespējama situācija, ka iekārtas tiek piegādātas 2 gadu laikā un atlikušajā laikā 6-10 mēneši tiek veltīts iekārtu testēšanai? Ja šāda situācija nav iespējama, vai var paredzēt iepirkuma specifikācijā, ka liela daļa testēšanas darbu tiek veikta jau pie iekārtu piegādātāja pirms iekārtu </w:t>
      </w:r>
      <w:r w:rsidR="003E3C3D" w:rsidRPr="00E65FD0">
        <w:rPr>
          <w:rFonts w:ascii="Times New Roman" w:hAnsi="Times New Roman"/>
          <w:sz w:val="24"/>
          <w:szCs w:val="24"/>
        </w:rPr>
        <w:lastRenderedPageBreak/>
        <w:t>piegādes uz Latviju? Tas būtu loģiski, jo iekārtu ražotājs savās telpās varētu operatīvi veikt vēlamos pielāgojumus un uzlabojumus eksperimentālajā tehnoloģijā. </w:t>
      </w:r>
    </w:p>
    <w:p w:rsidR="00803650" w:rsidRPr="00E65FD0" w:rsidRDefault="00803650" w:rsidP="00E65FD0">
      <w:pPr>
        <w:ind w:left="360"/>
        <w:jc w:val="both"/>
        <w:rPr>
          <w:i/>
        </w:rPr>
      </w:pPr>
      <w:r w:rsidRPr="009E5EAB">
        <w:rPr>
          <w:b/>
          <w:i/>
        </w:rPr>
        <w:t>Atbilde:</w:t>
      </w:r>
      <w:r w:rsidRPr="00E65FD0">
        <w:rPr>
          <w:i/>
        </w:rPr>
        <w:t xml:space="preserve"> MKN Nr.293 52.punktā ir noteikts eksperimentālās tehnoloģijas testēšanas laiks </w:t>
      </w:r>
      <w:r w:rsidRPr="00E65FD0">
        <w:rPr>
          <w:b/>
          <w:i/>
        </w:rPr>
        <w:t>pie finansējuma saņēmēja reālā ražošanas vidē</w:t>
      </w:r>
      <w:r w:rsidR="00E65FD0" w:rsidRPr="00E65FD0">
        <w:rPr>
          <w:b/>
          <w:i/>
        </w:rPr>
        <w:t xml:space="preserve">, tas ir, </w:t>
      </w:r>
      <w:r w:rsidR="00E65FD0" w:rsidRPr="00E65FD0">
        <w:rPr>
          <w:i/>
          <w:iCs/>
        </w:rPr>
        <w:t>testēšana reālā ražošanas vidē, veicot saimniecisko darbību, jāveic tieši finansējuma saņēmējam.</w:t>
      </w:r>
      <w:r w:rsidRPr="00E65FD0">
        <w:rPr>
          <w:i/>
        </w:rPr>
        <w:t xml:space="preserve"> Tehnoloģijas testēšanas laikam pie iekārtu ražotāja pirms tās piegādes finansējuma saņēmējam nav noteikts ierobežojums.</w:t>
      </w:r>
    </w:p>
    <w:p w:rsidR="003E3C3D" w:rsidRPr="00E65FD0" w:rsidRDefault="003E3C3D" w:rsidP="00E65FD0">
      <w:pPr>
        <w:jc w:val="both"/>
      </w:pPr>
    </w:p>
    <w:p w:rsidR="003E3C3D" w:rsidRPr="009E5EAB" w:rsidRDefault="0043719F"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t>Jautājums:</w:t>
      </w:r>
      <w:r w:rsidRPr="00E65FD0">
        <w:rPr>
          <w:rFonts w:ascii="Times New Roman" w:hAnsi="Times New Roman"/>
          <w:sz w:val="24"/>
          <w:szCs w:val="24"/>
        </w:rPr>
        <w:t xml:space="preserve"> </w:t>
      </w:r>
      <w:r w:rsidR="003E3C3D" w:rsidRPr="00E65FD0">
        <w:rPr>
          <w:rFonts w:ascii="Times New Roman" w:hAnsi="Times New Roman"/>
          <w:sz w:val="24"/>
          <w:szCs w:val="24"/>
        </w:rPr>
        <w:t xml:space="preserve">Saskaņā ar 1.2.1.4. pasākuma informatīvās semināra 21.07.2016. prezentāciju, maksimālais iekārtu testēšanas laiks ražotnē Latvijā var būt 2 mēneši. Pastāv ļoti liela varbūtība, ka 2 mēnešos iekārta nespēs sasniegt vēlamos darbības rādītājus un nodrošināt jaunā produkta ražošanu. Tipiski uzņēmumiem kā spēcīga kontroles svira ir maksājumi, </w:t>
      </w:r>
      <w:hyperlink r:id="rId6" w:history="1">
        <w:r w:rsidR="003E3C3D" w:rsidRPr="00E65FD0">
          <w:rPr>
            <w:rStyle w:val="Hyperlink"/>
            <w:rFonts w:ascii="Times New Roman" w:hAnsi="Times New Roman"/>
            <w:color w:val="auto"/>
            <w:sz w:val="24"/>
            <w:szCs w:val="24"/>
          </w:rPr>
          <w:t>t.sk</w:t>
        </w:r>
      </w:hyperlink>
      <w:r w:rsidR="003E3C3D" w:rsidRPr="00E65FD0">
        <w:rPr>
          <w:rFonts w:ascii="Times New Roman" w:hAnsi="Times New Roman"/>
          <w:sz w:val="24"/>
          <w:szCs w:val="24"/>
        </w:rPr>
        <w:t>. gala maksājums. Šādā situācijā pasūtītājs nevēlētos veikt gala maksājumu, jo tas mazinātu garantijas, ka iekārtu piegādātājs izpilda saistības eksperimentālās tehnoloģijas pielāgošanā un pilnveidošanā. No otras puses, projekta noslēgšanai ir nepieciešams veikt gala maksājums. Vai Ekonomikas ministrija redz risinājumu šādai situācijai, lai pasargātu produktu ražotāja (iekārtu pasūtītāju) intereses?</w:t>
      </w:r>
    </w:p>
    <w:p w:rsidR="0043719F" w:rsidRPr="00E65FD0" w:rsidRDefault="0043719F" w:rsidP="00E65FD0">
      <w:pPr>
        <w:ind w:left="360"/>
        <w:jc w:val="both"/>
        <w:rPr>
          <w:i/>
        </w:rPr>
      </w:pPr>
      <w:r w:rsidRPr="009E5EAB">
        <w:rPr>
          <w:b/>
          <w:i/>
        </w:rPr>
        <w:t>Atbilde:</w:t>
      </w:r>
      <w:r w:rsidRPr="00E65FD0">
        <w:rPr>
          <w:i/>
        </w:rPr>
        <w:t xml:space="preserve"> Visiem maksājumiem, tostarp iekārtu ražotājam vai uzstādītajam ir jābūt veiktiem līdz noslēguma maksājuma pieprasījuma iesniegšanai CFLA. Finansējuma saņēmējs savstarpējā līgumā ar iekārtu ražotāju vai uzstādītāju var paredzēt papildus citus  nosacījumus, kas aizsargātu tā intereses.</w:t>
      </w:r>
    </w:p>
    <w:p w:rsidR="003E3C3D" w:rsidRPr="00E65FD0" w:rsidRDefault="003E3C3D" w:rsidP="00E65FD0">
      <w:pPr>
        <w:jc w:val="both"/>
      </w:pPr>
    </w:p>
    <w:p w:rsidR="003E3C3D" w:rsidRPr="009E5EAB" w:rsidRDefault="009E5EAB"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t>Jautājums:</w:t>
      </w:r>
      <w:r>
        <w:rPr>
          <w:rFonts w:ascii="Times New Roman" w:hAnsi="Times New Roman"/>
          <w:sz w:val="24"/>
          <w:szCs w:val="24"/>
        </w:rPr>
        <w:t xml:space="preserve"> </w:t>
      </w:r>
      <w:r w:rsidR="003E3C3D" w:rsidRPr="00E65FD0">
        <w:rPr>
          <w:rFonts w:ascii="Times New Roman" w:hAnsi="Times New Roman"/>
          <w:sz w:val="24"/>
          <w:szCs w:val="24"/>
        </w:rPr>
        <w:t>Vai 1.2.1.4. pasākumam atbilstu projekts, kura ietvaros tiktu ieviests jauns produkts ražotāja līmenī, bet ne tirgus līmenī. Savukārt ražošanas tehnoloģija būtu tirgus līmenī eksperimentāla, jo nodrošinātu, piemēram, daudz efektīvāku ražošanas procesu (augstāks automatizācijas līmenis, dažādu procesu apvienošana vienā, augstāka ražība, mazāks izejmateriāla patēriņš, efektīvāka kvalitātes kont</w:t>
      </w:r>
      <w:r w:rsidR="00E65FD0" w:rsidRPr="00E65FD0">
        <w:rPr>
          <w:rFonts w:ascii="Times New Roman" w:hAnsi="Times New Roman"/>
          <w:sz w:val="24"/>
          <w:szCs w:val="24"/>
        </w:rPr>
        <w:t xml:space="preserve">role </w:t>
      </w:r>
      <w:proofErr w:type="spellStart"/>
      <w:r w:rsidR="00E65FD0" w:rsidRPr="00E65FD0">
        <w:rPr>
          <w:rFonts w:ascii="Times New Roman" w:hAnsi="Times New Roman"/>
          <w:sz w:val="24"/>
          <w:szCs w:val="24"/>
        </w:rPr>
        <w:t>utml</w:t>
      </w:r>
      <w:proofErr w:type="spellEnd"/>
      <w:r w:rsidR="00E65FD0" w:rsidRPr="00E65FD0">
        <w:rPr>
          <w:rFonts w:ascii="Times New Roman" w:hAnsi="Times New Roman"/>
          <w:sz w:val="24"/>
          <w:szCs w:val="24"/>
        </w:rPr>
        <w:t>.)), daudz zaļāku ražoš</w:t>
      </w:r>
      <w:r w:rsidR="003E3C3D" w:rsidRPr="00E65FD0">
        <w:rPr>
          <w:rFonts w:ascii="Times New Roman" w:hAnsi="Times New Roman"/>
          <w:sz w:val="24"/>
          <w:szCs w:val="24"/>
        </w:rPr>
        <w:t>anas procesu vai daudz zemāku pašizmaksu salīdzinot ar citiem tehnoloģiju risinājumiem tirgū</w:t>
      </w:r>
      <w:r w:rsidR="003E3C3D" w:rsidRPr="009E5EAB">
        <w:rPr>
          <w:rFonts w:ascii="Times New Roman" w:hAnsi="Times New Roman"/>
          <w:b/>
          <w:sz w:val="24"/>
          <w:szCs w:val="24"/>
        </w:rPr>
        <w:t>. </w:t>
      </w:r>
    </w:p>
    <w:p w:rsidR="00E65FD0" w:rsidRPr="00E65FD0" w:rsidRDefault="0043719F" w:rsidP="00E65FD0">
      <w:pPr>
        <w:pStyle w:val="NoSpacing"/>
        <w:jc w:val="both"/>
        <w:rPr>
          <w:rFonts w:ascii="Times New Roman" w:hAnsi="Times New Roman"/>
          <w:i/>
          <w:iCs/>
          <w:color w:val="auto"/>
          <w:sz w:val="24"/>
          <w:szCs w:val="24"/>
        </w:rPr>
      </w:pPr>
      <w:r w:rsidRPr="009E5EAB">
        <w:rPr>
          <w:rFonts w:ascii="Times New Roman" w:hAnsi="Times New Roman"/>
          <w:b/>
          <w:i/>
          <w:color w:val="auto"/>
          <w:sz w:val="24"/>
          <w:szCs w:val="24"/>
        </w:rPr>
        <w:t>Atbilde:</w:t>
      </w:r>
      <w:r w:rsidRPr="00E65FD0">
        <w:rPr>
          <w:rFonts w:ascii="Times New Roman" w:hAnsi="Times New Roman"/>
          <w:i/>
          <w:color w:val="auto"/>
          <w:sz w:val="24"/>
          <w:szCs w:val="24"/>
        </w:rPr>
        <w:t xml:space="preserve">  Jaunam produktam ir jābūt uzņēmuma līmenī. Savukārt, min.20% no eksperimentālās tehnoloģijas komponentēm jābūt unikālām vismaz Eiropas līmenī.  </w:t>
      </w:r>
      <w:r w:rsidR="00E65FD0" w:rsidRPr="00E65FD0">
        <w:rPr>
          <w:rFonts w:ascii="Times New Roman" w:hAnsi="Times New Roman"/>
          <w:i/>
          <w:color w:val="auto"/>
          <w:sz w:val="24"/>
          <w:szCs w:val="24"/>
        </w:rPr>
        <w:t>Papildus skaidrojam, ka j</w:t>
      </w:r>
      <w:r w:rsidR="00E65FD0" w:rsidRPr="00E65FD0">
        <w:rPr>
          <w:rFonts w:ascii="Times New Roman" w:hAnsi="Times New Roman"/>
          <w:i/>
          <w:iCs/>
          <w:color w:val="auto"/>
          <w:sz w:val="24"/>
          <w:szCs w:val="24"/>
        </w:rPr>
        <w:t>auns produkts ir preces un pakalpojumi, kuri ir pilnīgi jauni vai kuriem ir uzlabotas to funkcionālās īpašības un paredzamais lietošanas veids.</w:t>
      </w:r>
    </w:p>
    <w:p w:rsidR="00E65FD0" w:rsidRPr="00E65FD0" w:rsidRDefault="00E65FD0" w:rsidP="00E65FD0">
      <w:pPr>
        <w:jc w:val="both"/>
        <w:rPr>
          <w:i/>
          <w:iCs/>
        </w:rPr>
      </w:pPr>
      <w:r w:rsidRPr="00E65FD0">
        <w:rPr>
          <w:i/>
          <w:iCs/>
        </w:rPr>
        <w:t>Par jaunu produktu vai tehnoloģiju neuzskata:</w:t>
      </w:r>
    </w:p>
    <w:p w:rsidR="00E65FD0" w:rsidRPr="00E65FD0" w:rsidRDefault="00E65FD0" w:rsidP="00E65FD0">
      <w:pPr>
        <w:jc w:val="both"/>
        <w:rPr>
          <w:i/>
          <w:iCs/>
        </w:rPr>
      </w:pPr>
      <w:r w:rsidRPr="00E65FD0">
        <w:rPr>
          <w:i/>
          <w:iCs/>
        </w:rPr>
        <w:t>1. produkta vai tehnoloģijas izstrādi pēc konkrēta klienta pasūtījuma, izņemot gadījumus, ja produkts vai tehnoloģija būtiski atšķiras no iepriekš izgatavotajiem produktiem;</w:t>
      </w:r>
    </w:p>
    <w:p w:rsidR="00E65FD0" w:rsidRPr="00E65FD0" w:rsidRDefault="00E65FD0" w:rsidP="00E65FD0">
      <w:pPr>
        <w:jc w:val="both"/>
        <w:rPr>
          <w:i/>
          <w:iCs/>
        </w:rPr>
      </w:pPr>
      <w:r w:rsidRPr="00E65FD0">
        <w:rPr>
          <w:i/>
          <w:iCs/>
        </w:rPr>
        <w:t>2. organizatorisko procesu uzlabošanu komersanta darbībā;</w:t>
      </w:r>
    </w:p>
    <w:p w:rsidR="00E65FD0" w:rsidRPr="00E65FD0" w:rsidRDefault="00E65FD0" w:rsidP="00E65FD0">
      <w:pPr>
        <w:jc w:val="both"/>
        <w:rPr>
          <w:i/>
          <w:iCs/>
        </w:rPr>
      </w:pPr>
      <w:r w:rsidRPr="00E65FD0">
        <w:rPr>
          <w:i/>
          <w:iCs/>
        </w:rPr>
        <w:t>3. aktīva aizvietošanu (izmantotajiem moduļiem identisku moduļu iegāde, paplašinājumi, kas nerada specifikācijas uzlabojumus, iekārtu un programmatūras atjauninājumi);</w:t>
      </w:r>
    </w:p>
    <w:p w:rsidR="00E65FD0" w:rsidRPr="00E65FD0" w:rsidRDefault="00E65FD0" w:rsidP="00E65FD0">
      <w:pPr>
        <w:jc w:val="both"/>
        <w:rPr>
          <w:i/>
          <w:iCs/>
        </w:rPr>
      </w:pPr>
      <w:r w:rsidRPr="00E65FD0">
        <w:rPr>
          <w:i/>
          <w:iCs/>
        </w:rPr>
        <w:t>4. ikdienas, sezonas vai cikliskas izmaiņas un uzlabojumus;</w:t>
      </w:r>
    </w:p>
    <w:p w:rsidR="00E65FD0" w:rsidRPr="00E65FD0" w:rsidRDefault="00E65FD0" w:rsidP="00E65FD0">
      <w:pPr>
        <w:jc w:val="both"/>
        <w:rPr>
          <w:i/>
          <w:iCs/>
        </w:rPr>
      </w:pPr>
      <w:r w:rsidRPr="00E65FD0">
        <w:rPr>
          <w:i/>
          <w:iCs/>
        </w:rPr>
        <w:t>5. estētiskas izmaiņas, garšas un smaržas izmaiņas un citus uzlabojumus mārketinga nolūkā, kas nemaina funkcijas, lietojumu vai tehniskās īpašības;</w:t>
      </w:r>
    </w:p>
    <w:p w:rsidR="00E65FD0" w:rsidRPr="00E65FD0" w:rsidRDefault="00E65FD0" w:rsidP="00E65FD0">
      <w:pPr>
        <w:jc w:val="both"/>
        <w:rPr>
          <w:i/>
          <w:iCs/>
        </w:rPr>
      </w:pPr>
      <w:r w:rsidRPr="00E65FD0">
        <w:rPr>
          <w:i/>
          <w:iCs/>
        </w:rPr>
        <w:t xml:space="preserve">6. citas darbības, kas neatbilst jauna produkta vai jaunas tehnoloģijas definīcijai (Oslo </w:t>
      </w:r>
      <w:proofErr w:type="spellStart"/>
      <w:r w:rsidRPr="00E65FD0">
        <w:rPr>
          <w:i/>
          <w:iCs/>
        </w:rPr>
        <w:t>manual</w:t>
      </w:r>
      <w:proofErr w:type="spellEnd"/>
      <w:r w:rsidRPr="00E65FD0">
        <w:rPr>
          <w:i/>
          <w:iCs/>
        </w:rPr>
        <w:t>).</w:t>
      </w:r>
    </w:p>
    <w:p w:rsidR="0043719F" w:rsidRPr="00E65FD0" w:rsidRDefault="0043719F" w:rsidP="00E65FD0">
      <w:pPr>
        <w:pStyle w:val="ListParagraph"/>
        <w:jc w:val="both"/>
        <w:rPr>
          <w:rFonts w:ascii="Times New Roman" w:hAnsi="Times New Roman"/>
          <w:i/>
          <w:sz w:val="24"/>
          <w:szCs w:val="24"/>
        </w:rPr>
      </w:pPr>
    </w:p>
    <w:p w:rsidR="003E3C3D" w:rsidRPr="00E65FD0" w:rsidRDefault="003E3C3D" w:rsidP="00E65FD0">
      <w:pPr>
        <w:jc w:val="both"/>
      </w:pPr>
    </w:p>
    <w:p w:rsidR="003E3C3D" w:rsidRPr="009E5EAB" w:rsidRDefault="009E5EAB" w:rsidP="00E65FD0">
      <w:pPr>
        <w:pStyle w:val="ListParagraph"/>
        <w:numPr>
          <w:ilvl w:val="0"/>
          <w:numId w:val="13"/>
        </w:numPr>
        <w:jc w:val="both"/>
        <w:rPr>
          <w:rFonts w:ascii="Times New Roman" w:hAnsi="Times New Roman"/>
          <w:b/>
          <w:sz w:val="24"/>
          <w:szCs w:val="24"/>
        </w:rPr>
      </w:pPr>
      <w:r w:rsidRPr="009E5EAB">
        <w:rPr>
          <w:rFonts w:ascii="Times New Roman" w:hAnsi="Times New Roman"/>
          <w:b/>
          <w:sz w:val="24"/>
          <w:szCs w:val="24"/>
        </w:rPr>
        <w:lastRenderedPageBreak/>
        <w:t>Jautājums:</w:t>
      </w:r>
      <w:r>
        <w:rPr>
          <w:rFonts w:ascii="Times New Roman" w:hAnsi="Times New Roman"/>
          <w:sz w:val="24"/>
          <w:szCs w:val="24"/>
        </w:rPr>
        <w:t xml:space="preserve"> </w:t>
      </w:r>
      <w:r w:rsidR="003E3C3D" w:rsidRPr="00E65FD0">
        <w:rPr>
          <w:rFonts w:ascii="Times New Roman" w:hAnsi="Times New Roman"/>
          <w:sz w:val="24"/>
          <w:szCs w:val="24"/>
        </w:rPr>
        <w:t xml:space="preserve">Vai par jaunu produktu uzskatāms, ja uzņēmums ražo līdzīgus produktus kā līdz šim (no tiešā patērētāja aspekta), bet no </w:t>
      </w:r>
      <w:proofErr w:type="spellStart"/>
      <w:r w:rsidR="003E3C3D" w:rsidRPr="00E65FD0">
        <w:rPr>
          <w:rFonts w:ascii="Times New Roman" w:hAnsi="Times New Roman"/>
          <w:sz w:val="24"/>
          <w:szCs w:val="24"/>
        </w:rPr>
        <w:t>biodegradējamiem</w:t>
      </w:r>
      <w:proofErr w:type="spellEnd"/>
      <w:r w:rsidR="003E3C3D" w:rsidRPr="00E65FD0">
        <w:rPr>
          <w:rFonts w:ascii="Times New Roman" w:hAnsi="Times New Roman"/>
          <w:sz w:val="24"/>
          <w:szCs w:val="24"/>
        </w:rPr>
        <w:t xml:space="preserve"> materiāliem, t.i. produkta kopējais utilizācijas cikls ir daudz efektīvāks un videi draudzīgāks? Tiešā klienta ieguvums - iespēja pozicionēt sevi kā videi draudzīgu uzņēmumu.</w:t>
      </w:r>
    </w:p>
    <w:p w:rsidR="0016620E" w:rsidRPr="00E65FD0" w:rsidRDefault="0016620E" w:rsidP="00E65FD0">
      <w:pPr>
        <w:pStyle w:val="ListParagraph"/>
        <w:jc w:val="both"/>
        <w:rPr>
          <w:rFonts w:ascii="Times New Roman" w:hAnsi="Times New Roman"/>
          <w:i/>
          <w:sz w:val="24"/>
          <w:szCs w:val="24"/>
        </w:rPr>
      </w:pPr>
    </w:p>
    <w:p w:rsidR="0016620E" w:rsidRPr="00E65FD0" w:rsidRDefault="0016620E" w:rsidP="00E65FD0">
      <w:pPr>
        <w:jc w:val="both"/>
        <w:rPr>
          <w:i/>
        </w:rPr>
      </w:pPr>
      <w:r w:rsidRPr="009E5EAB">
        <w:rPr>
          <w:b/>
          <w:i/>
        </w:rPr>
        <w:t>Atbilde:</w:t>
      </w:r>
      <w:r w:rsidRPr="00E65FD0">
        <w:rPr>
          <w:i/>
        </w:rPr>
        <w:t xml:space="preserve">  Jaunam produktam ir jābūt uzņēmuma līmenī. Savukārt, min.20% no eksperimentālās tehnoloģijas komponentēm jābūt unikālām vismaz Eiropas līmenī</w:t>
      </w:r>
      <w:r w:rsidR="00E65FD0" w:rsidRPr="00E65FD0">
        <w:rPr>
          <w:i/>
        </w:rPr>
        <w:t>.</w:t>
      </w:r>
      <w:r w:rsidRPr="00E65FD0">
        <w:rPr>
          <w:i/>
        </w:rPr>
        <w:t xml:space="preserve"> </w:t>
      </w:r>
      <w:proofErr w:type="spellStart"/>
      <w:r w:rsidR="00E65FD0" w:rsidRPr="00E65FD0">
        <w:rPr>
          <w:i/>
          <w:iCs/>
        </w:rPr>
        <w:t>Biodegradējamie</w:t>
      </w:r>
      <w:proofErr w:type="spellEnd"/>
      <w:r w:rsidR="00E65FD0" w:rsidRPr="00E65FD0">
        <w:rPr>
          <w:i/>
          <w:iCs/>
        </w:rPr>
        <w:t xml:space="preserve"> materiāli var tikt uzskatīti par unikālu jaunā produkta pazīmi.</w:t>
      </w:r>
    </w:p>
    <w:p w:rsidR="0016620E" w:rsidRPr="00E65FD0" w:rsidRDefault="0016620E" w:rsidP="00E65FD0">
      <w:pPr>
        <w:pStyle w:val="ListParagraph"/>
        <w:jc w:val="both"/>
        <w:rPr>
          <w:rFonts w:ascii="Times New Roman" w:hAnsi="Times New Roman"/>
          <w:sz w:val="24"/>
          <w:szCs w:val="24"/>
        </w:rPr>
      </w:pPr>
    </w:p>
    <w:p w:rsidR="003E3C3D" w:rsidRPr="00E65FD0" w:rsidRDefault="003E3C3D" w:rsidP="00E65FD0">
      <w:pPr>
        <w:ind w:left="720"/>
        <w:jc w:val="both"/>
      </w:pPr>
      <w:r w:rsidRPr="009E5EAB">
        <w:rPr>
          <w:b/>
        </w:rPr>
        <w:t xml:space="preserve">8. </w:t>
      </w:r>
      <w:r w:rsidR="009E5EAB" w:rsidRPr="009E5EAB">
        <w:rPr>
          <w:b/>
        </w:rPr>
        <w:t xml:space="preserve">Jautājums: </w:t>
      </w:r>
      <w:r w:rsidRPr="00E65FD0">
        <w:t>Vai jauns produkts tiek uzskatīts, ja salīdzinot ar esošiem uzņēmuma produktiem, jaunais tiek ražots no plānāka materiāla, kā rezultātā palielinās uzņēmuma peļņa un/ vai samazinās cena klientiem, kā arī kopējā utilizācijas ciklā samazinās produkta transportēšanas un uzglabāšanas izmaksas.</w:t>
      </w:r>
    </w:p>
    <w:p w:rsidR="00E65FD0" w:rsidRPr="00E65FD0" w:rsidRDefault="0016620E" w:rsidP="00E65FD0">
      <w:pPr>
        <w:pStyle w:val="NoSpacing"/>
        <w:jc w:val="both"/>
        <w:rPr>
          <w:rFonts w:ascii="Times New Roman" w:hAnsi="Times New Roman"/>
          <w:i/>
          <w:iCs/>
          <w:color w:val="auto"/>
          <w:sz w:val="24"/>
          <w:szCs w:val="24"/>
        </w:rPr>
      </w:pPr>
      <w:r w:rsidRPr="009E5EAB">
        <w:rPr>
          <w:rFonts w:ascii="Times New Roman" w:hAnsi="Times New Roman"/>
          <w:b/>
          <w:i/>
          <w:color w:val="auto"/>
          <w:sz w:val="24"/>
          <w:szCs w:val="24"/>
        </w:rPr>
        <w:t>Atbilde:</w:t>
      </w:r>
      <w:r w:rsidRPr="00E65FD0">
        <w:rPr>
          <w:rFonts w:ascii="Times New Roman" w:hAnsi="Times New Roman"/>
          <w:i/>
          <w:color w:val="auto"/>
          <w:sz w:val="24"/>
          <w:szCs w:val="24"/>
        </w:rPr>
        <w:t xml:space="preserve">  Jaunam produktam ir jābūt uzņēmuma līmenī. Savukārt, min.20% no eksperimentālās tehnoloģijas komponentēm jābūt unikālām vismaz Eiropas līmenī.  </w:t>
      </w:r>
      <w:r w:rsidR="00E65FD0" w:rsidRPr="00E65FD0">
        <w:rPr>
          <w:rFonts w:ascii="Times New Roman" w:hAnsi="Times New Roman"/>
          <w:i/>
          <w:color w:val="auto"/>
          <w:sz w:val="24"/>
          <w:szCs w:val="24"/>
        </w:rPr>
        <w:t>Papildus skaidrojam, ka j</w:t>
      </w:r>
      <w:r w:rsidR="00E65FD0" w:rsidRPr="00E65FD0">
        <w:rPr>
          <w:rFonts w:ascii="Times New Roman" w:hAnsi="Times New Roman"/>
          <w:i/>
          <w:iCs/>
          <w:color w:val="auto"/>
          <w:sz w:val="24"/>
          <w:szCs w:val="24"/>
        </w:rPr>
        <w:t>auns produkts ir preces un pakalpojumi, kuri ir pilnīgi jauni vai kuriem ir uzlabotas to funkcionālās īpašības un paredzamais lietošanas veids.</w:t>
      </w:r>
    </w:p>
    <w:p w:rsidR="00E65FD0" w:rsidRPr="00E65FD0" w:rsidRDefault="00E65FD0" w:rsidP="00E65FD0">
      <w:pPr>
        <w:jc w:val="both"/>
        <w:rPr>
          <w:i/>
          <w:iCs/>
        </w:rPr>
      </w:pPr>
      <w:r w:rsidRPr="00E65FD0">
        <w:rPr>
          <w:i/>
          <w:iCs/>
        </w:rPr>
        <w:t>Par jaunu produktu vai tehnoloģiju neuzskata:</w:t>
      </w:r>
    </w:p>
    <w:p w:rsidR="00E65FD0" w:rsidRPr="00E65FD0" w:rsidRDefault="00E65FD0" w:rsidP="00E65FD0">
      <w:pPr>
        <w:jc w:val="both"/>
        <w:rPr>
          <w:i/>
          <w:iCs/>
        </w:rPr>
      </w:pPr>
      <w:r w:rsidRPr="00E65FD0">
        <w:rPr>
          <w:i/>
          <w:iCs/>
        </w:rPr>
        <w:t>1. produkta vai tehnoloģijas izstrādi pēc konkrēta klienta pasūtījuma, izņemot gadījumus, ja produkts vai tehnoloģija būtiski atšķiras no iepriekš izgatavotajiem produktiem;</w:t>
      </w:r>
    </w:p>
    <w:p w:rsidR="00E65FD0" w:rsidRPr="00E65FD0" w:rsidRDefault="00E65FD0" w:rsidP="00E65FD0">
      <w:pPr>
        <w:jc w:val="both"/>
        <w:rPr>
          <w:i/>
          <w:iCs/>
        </w:rPr>
      </w:pPr>
      <w:r w:rsidRPr="00E65FD0">
        <w:rPr>
          <w:i/>
          <w:iCs/>
        </w:rPr>
        <w:t>2. organizatorisko procesu uzlabošanu komersanta darbībā;</w:t>
      </w:r>
    </w:p>
    <w:p w:rsidR="00E65FD0" w:rsidRPr="00E65FD0" w:rsidRDefault="00E65FD0" w:rsidP="00E65FD0">
      <w:pPr>
        <w:jc w:val="both"/>
        <w:rPr>
          <w:i/>
          <w:iCs/>
        </w:rPr>
      </w:pPr>
      <w:r w:rsidRPr="00E65FD0">
        <w:rPr>
          <w:i/>
          <w:iCs/>
        </w:rPr>
        <w:t>3. aktīva aizvietošanu (izmantotajiem moduļiem identisku moduļu iegāde, paplašinājumi, kas nerada specifikācijas uzlabojumus, iekārtu un programmatūras atjauninājumi);</w:t>
      </w:r>
    </w:p>
    <w:p w:rsidR="00E65FD0" w:rsidRPr="00E65FD0" w:rsidRDefault="00E65FD0" w:rsidP="00E65FD0">
      <w:pPr>
        <w:jc w:val="both"/>
        <w:rPr>
          <w:i/>
          <w:iCs/>
        </w:rPr>
      </w:pPr>
      <w:r w:rsidRPr="00E65FD0">
        <w:rPr>
          <w:i/>
          <w:iCs/>
        </w:rPr>
        <w:t>4. ikdienas, sezonas vai cikliskas izmaiņas un uzlabojumus;</w:t>
      </w:r>
    </w:p>
    <w:p w:rsidR="00E65FD0" w:rsidRPr="00E65FD0" w:rsidRDefault="00E65FD0" w:rsidP="00E65FD0">
      <w:pPr>
        <w:jc w:val="both"/>
        <w:rPr>
          <w:i/>
          <w:iCs/>
        </w:rPr>
      </w:pPr>
      <w:r w:rsidRPr="00E65FD0">
        <w:rPr>
          <w:i/>
          <w:iCs/>
        </w:rPr>
        <w:t>5. estētiskas izmaiņas, garšas un smaržas izmaiņas un citus uzlabojumus mārketinga nolūkā, kas nemaina funkcijas, lietojumu vai tehniskās īpašības;</w:t>
      </w:r>
    </w:p>
    <w:p w:rsidR="00E65FD0" w:rsidRPr="00E65FD0" w:rsidRDefault="00E65FD0" w:rsidP="00E65FD0">
      <w:pPr>
        <w:jc w:val="both"/>
        <w:rPr>
          <w:i/>
          <w:iCs/>
        </w:rPr>
      </w:pPr>
      <w:r w:rsidRPr="00E65FD0">
        <w:rPr>
          <w:i/>
          <w:iCs/>
        </w:rPr>
        <w:t xml:space="preserve">6. citas darbības, kas neatbilst jauna produkta vai jaunas tehnoloģijas definīcijai (Oslo </w:t>
      </w:r>
      <w:proofErr w:type="spellStart"/>
      <w:r w:rsidRPr="00E65FD0">
        <w:rPr>
          <w:i/>
          <w:iCs/>
        </w:rPr>
        <w:t>manual</w:t>
      </w:r>
      <w:proofErr w:type="spellEnd"/>
      <w:r w:rsidRPr="00E65FD0">
        <w:rPr>
          <w:i/>
          <w:iCs/>
        </w:rPr>
        <w:t>).</w:t>
      </w:r>
    </w:p>
    <w:p w:rsidR="003E3C3D" w:rsidRPr="00E65FD0" w:rsidRDefault="003E3C3D" w:rsidP="00E65FD0">
      <w:pPr>
        <w:jc w:val="both"/>
      </w:pPr>
    </w:p>
    <w:p w:rsidR="003E3C3D" w:rsidRPr="00E65FD0" w:rsidRDefault="003E3C3D" w:rsidP="00E65FD0">
      <w:pPr>
        <w:ind w:left="720"/>
        <w:jc w:val="both"/>
      </w:pPr>
      <w:r w:rsidRPr="009E5EAB">
        <w:rPr>
          <w:b/>
        </w:rPr>
        <w:t xml:space="preserve">9. </w:t>
      </w:r>
      <w:r w:rsidR="009E5EAB" w:rsidRPr="009E5EAB">
        <w:rPr>
          <w:b/>
        </w:rPr>
        <w:t>Jautājums</w:t>
      </w:r>
      <w:r w:rsidR="009E5EAB">
        <w:t xml:space="preserve">: </w:t>
      </w:r>
      <w:r w:rsidRPr="00E65FD0">
        <w:t>Pieņemsim, ja projekta ietvaros tiek izstrādātas 25% apmērā no izmaksām eksperimentālās tehnoloģijas un 75% apmēra nozarē standartizētas iekārtas. Šīs standartizētās iekārtas būtu izmantojamas arī citu uzņēmuma esošo produktu ražošanai. Ja būtu brīvas jaudas, jo īpaši jaunā produkta ieviešanas procesā tirgū, kas nereti ir pat 5 - 15 gadi, vai standarta iekārtas varētu izmantot arī esošo produktu ražošanai, tādējādi paaugstinot kopējo uzņēmuma jaudu un dzīvotspēju?</w:t>
      </w:r>
    </w:p>
    <w:p w:rsidR="003E3C3D" w:rsidRPr="00E65FD0" w:rsidRDefault="003E3C3D" w:rsidP="00E65FD0">
      <w:pPr>
        <w:jc w:val="both"/>
      </w:pPr>
    </w:p>
    <w:p w:rsidR="0016620E" w:rsidRPr="00E65FD0" w:rsidRDefault="0016620E" w:rsidP="00E65FD0">
      <w:pPr>
        <w:jc w:val="both"/>
        <w:rPr>
          <w:i/>
        </w:rPr>
      </w:pPr>
      <w:r w:rsidRPr="009E5EAB">
        <w:rPr>
          <w:b/>
          <w:i/>
        </w:rPr>
        <w:t>Atbilde:</w:t>
      </w:r>
      <w:r w:rsidRPr="00E65FD0">
        <w:rPr>
          <w:i/>
        </w:rPr>
        <w:t xml:space="preserve"> 1.2.1.4.pasākuma ietvaros atbalstāmās darbības ir </w:t>
      </w:r>
      <w:r w:rsidRPr="00E65FD0">
        <w:rPr>
          <w:b/>
          <w:i/>
        </w:rPr>
        <w:t xml:space="preserve">eksperimentālu tehnoloģiju </w:t>
      </w:r>
      <w:r w:rsidRPr="00E65FD0">
        <w:rPr>
          <w:i/>
        </w:rPr>
        <w:t xml:space="preserve">izgatavošana vai iegāde, kur vismaz 20% komponenšu ir unikālas, </w:t>
      </w:r>
      <w:r w:rsidRPr="00E65FD0">
        <w:rPr>
          <w:b/>
          <w:i/>
        </w:rPr>
        <w:t>jauna produkta ražošanai</w:t>
      </w:r>
      <w:r w:rsidRPr="00E65FD0">
        <w:rPr>
          <w:i/>
        </w:rPr>
        <w:t xml:space="preserve"> uzņēmumā. </w:t>
      </w:r>
    </w:p>
    <w:p w:rsidR="0016620E" w:rsidRPr="00E65FD0" w:rsidRDefault="0016620E" w:rsidP="00E65FD0">
      <w:pPr>
        <w:jc w:val="both"/>
      </w:pPr>
    </w:p>
    <w:p w:rsidR="0016620E" w:rsidRPr="00E65FD0" w:rsidRDefault="009E5EAB" w:rsidP="00E65FD0">
      <w:pPr>
        <w:ind w:left="720"/>
        <w:jc w:val="both"/>
      </w:pPr>
      <w:r>
        <w:rPr>
          <w:b/>
        </w:rPr>
        <w:t>10</w:t>
      </w:r>
      <w:r w:rsidR="0016620E" w:rsidRPr="009E5EAB">
        <w:rPr>
          <w:b/>
        </w:rPr>
        <w:t xml:space="preserve">. </w:t>
      </w:r>
      <w:r w:rsidRPr="009E5EAB">
        <w:rPr>
          <w:b/>
        </w:rPr>
        <w:t>Jautājums:</w:t>
      </w:r>
      <w:r>
        <w:t xml:space="preserve"> </w:t>
      </w:r>
      <w:r w:rsidR="0016620E" w:rsidRPr="00E65FD0">
        <w:t>Vai ir noteikts minimālais patenta uzturēšanas gadu skaits vai konfidencialitātes līguma starp pasūtītāju un iekārtu ražotāju minimālais spēkā esamības gadu skaits?</w:t>
      </w:r>
    </w:p>
    <w:p w:rsidR="007F1941" w:rsidRPr="00E65FD0" w:rsidRDefault="007F1941" w:rsidP="00E65FD0">
      <w:pPr>
        <w:jc w:val="both"/>
        <w:rPr>
          <w:i/>
        </w:rPr>
      </w:pPr>
    </w:p>
    <w:p w:rsidR="007F1941" w:rsidRPr="00E65FD0" w:rsidRDefault="007F1941" w:rsidP="00E65FD0">
      <w:pPr>
        <w:jc w:val="both"/>
        <w:rPr>
          <w:i/>
        </w:rPr>
      </w:pPr>
      <w:r w:rsidRPr="009E5EAB">
        <w:rPr>
          <w:b/>
          <w:i/>
        </w:rPr>
        <w:t>Atbilde:</w:t>
      </w:r>
      <w:r w:rsidRPr="00E65FD0">
        <w:rPr>
          <w:i/>
        </w:rPr>
        <w:t xml:space="preserve">  Intelektuālās tiesības apliecinošam dokumentam jābūt spēkā visu projekta </w:t>
      </w:r>
      <w:proofErr w:type="spellStart"/>
      <w:r w:rsidRPr="00E65FD0">
        <w:rPr>
          <w:i/>
        </w:rPr>
        <w:t>pēcuzraudzības</w:t>
      </w:r>
      <w:proofErr w:type="spellEnd"/>
      <w:r w:rsidRPr="00E65FD0">
        <w:rPr>
          <w:i/>
        </w:rPr>
        <w:t xml:space="preserve"> periodu.</w:t>
      </w:r>
      <w:bookmarkStart w:id="0" w:name="_GoBack"/>
      <w:bookmarkEnd w:id="0"/>
    </w:p>
    <w:sectPr w:rsidR="007F1941" w:rsidRPr="00E65F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4000001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BEE"/>
    <w:multiLevelType w:val="hybridMultilevel"/>
    <w:tmpl w:val="121AA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13AA0"/>
    <w:multiLevelType w:val="hybridMultilevel"/>
    <w:tmpl w:val="BA2481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D431EB"/>
    <w:multiLevelType w:val="hybridMultilevel"/>
    <w:tmpl w:val="717411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16CBA"/>
    <w:multiLevelType w:val="hybridMultilevel"/>
    <w:tmpl w:val="B314A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175C32"/>
    <w:multiLevelType w:val="multilevel"/>
    <w:tmpl w:val="280CB0F0"/>
    <w:lvl w:ilvl="0">
      <w:start w:val="1"/>
      <w:numFmt w:val="decimal"/>
      <w:lvlText w:val="%1."/>
      <w:lvlJc w:val="left"/>
      <w:pPr>
        <w:ind w:left="360" w:hanging="360"/>
      </w:pPr>
      <w:rPr>
        <w:b/>
      </w:rPr>
    </w:lvl>
    <w:lvl w:ilvl="1">
      <w:start w:val="1"/>
      <w:numFmt w:val="decimal"/>
      <w:lvlText w:val="%2)"/>
      <w:lvlJc w:val="left"/>
      <w:pPr>
        <w:ind w:left="792" w:hanging="432"/>
      </w:pPr>
      <w:rPr>
        <w:rFonts w:ascii="Calibri" w:eastAsiaTheme="minorHAns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52194"/>
    <w:multiLevelType w:val="hybridMultilevel"/>
    <w:tmpl w:val="4474842E"/>
    <w:lvl w:ilvl="0" w:tplc="CBA88F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59761F4"/>
    <w:multiLevelType w:val="hybridMultilevel"/>
    <w:tmpl w:val="C27CA7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767AC5"/>
    <w:multiLevelType w:val="hybridMultilevel"/>
    <w:tmpl w:val="038EC69A"/>
    <w:lvl w:ilvl="0" w:tplc="4FDC25BC">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0928C3"/>
    <w:multiLevelType w:val="hybridMultilevel"/>
    <w:tmpl w:val="A8C62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D138F6"/>
    <w:multiLevelType w:val="hybridMultilevel"/>
    <w:tmpl w:val="9CCA84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9F449E5"/>
    <w:multiLevelType w:val="hybridMultilevel"/>
    <w:tmpl w:val="04B615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A72396A"/>
    <w:multiLevelType w:val="hybridMultilevel"/>
    <w:tmpl w:val="D5A0119E"/>
    <w:lvl w:ilvl="0" w:tplc="A5C29CB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EE2681D"/>
    <w:multiLevelType w:val="hybridMultilevel"/>
    <w:tmpl w:val="CC127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441B0"/>
    <w:rsid w:val="0005274C"/>
    <w:rsid w:val="00056B21"/>
    <w:rsid w:val="00074F9C"/>
    <w:rsid w:val="00091060"/>
    <w:rsid w:val="000B2C5B"/>
    <w:rsid w:val="000E22A1"/>
    <w:rsid w:val="00137CCE"/>
    <w:rsid w:val="0016620E"/>
    <w:rsid w:val="00191C29"/>
    <w:rsid w:val="001936FB"/>
    <w:rsid w:val="001B702E"/>
    <w:rsid w:val="001C2FF6"/>
    <w:rsid w:val="001D580A"/>
    <w:rsid w:val="0021658D"/>
    <w:rsid w:val="002B5282"/>
    <w:rsid w:val="002D3EAA"/>
    <w:rsid w:val="002D71B6"/>
    <w:rsid w:val="003211C0"/>
    <w:rsid w:val="003346E2"/>
    <w:rsid w:val="003661A5"/>
    <w:rsid w:val="003A736D"/>
    <w:rsid w:val="003E3C3D"/>
    <w:rsid w:val="003E45A9"/>
    <w:rsid w:val="00412BC3"/>
    <w:rsid w:val="00414ED1"/>
    <w:rsid w:val="004213E7"/>
    <w:rsid w:val="00427227"/>
    <w:rsid w:val="00432440"/>
    <w:rsid w:val="0043719F"/>
    <w:rsid w:val="004A6525"/>
    <w:rsid w:val="004D4291"/>
    <w:rsid w:val="004E223D"/>
    <w:rsid w:val="005432F0"/>
    <w:rsid w:val="005B278E"/>
    <w:rsid w:val="005D37F3"/>
    <w:rsid w:val="006377BF"/>
    <w:rsid w:val="006E0A70"/>
    <w:rsid w:val="006E1CC1"/>
    <w:rsid w:val="00704F1C"/>
    <w:rsid w:val="00706A0D"/>
    <w:rsid w:val="00715975"/>
    <w:rsid w:val="00770F9D"/>
    <w:rsid w:val="007A697D"/>
    <w:rsid w:val="007C16BE"/>
    <w:rsid w:val="007E56AA"/>
    <w:rsid w:val="007F1941"/>
    <w:rsid w:val="00803650"/>
    <w:rsid w:val="0081379B"/>
    <w:rsid w:val="00836648"/>
    <w:rsid w:val="0085614C"/>
    <w:rsid w:val="00896160"/>
    <w:rsid w:val="008B63C6"/>
    <w:rsid w:val="008D0064"/>
    <w:rsid w:val="008D5AA9"/>
    <w:rsid w:val="008F0950"/>
    <w:rsid w:val="00900FBA"/>
    <w:rsid w:val="00907C38"/>
    <w:rsid w:val="0092471D"/>
    <w:rsid w:val="00927E7A"/>
    <w:rsid w:val="0093580F"/>
    <w:rsid w:val="0095124F"/>
    <w:rsid w:val="00954F77"/>
    <w:rsid w:val="0097017F"/>
    <w:rsid w:val="00976F1A"/>
    <w:rsid w:val="0098469D"/>
    <w:rsid w:val="009D7296"/>
    <w:rsid w:val="009E5EAB"/>
    <w:rsid w:val="009F0A63"/>
    <w:rsid w:val="00A130B9"/>
    <w:rsid w:val="00AB1DE4"/>
    <w:rsid w:val="00B364F4"/>
    <w:rsid w:val="00B42B07"/>
    <w:rsid w:val="00B4555D"/>
    <w:rsid w:val="00B574F2"/>
    <w:rsid w:val="00BB350A"/>
    <w:rsid w:val="00BD568A"/>
    <w:rsid w:val="00BE0946"/>
    <w:rsid w:val="00BE1377"/>
    <w:rsid w:val="00BE5D06"/>
    <w:rsid w:val="00BF1B67"/>
    <w:rsid w:val="00C10338"/>
    <w:rsid w:val="00C31B68"/>
    <w:rsid w:val="00C3444B"/>
    <w:rsid w:val="00C651F0"/>
    <w:rsid w:val="00C744D4"/>
    <w:rsid w:val="00C81D90"/>
    <w:rsid w:val="00CE4E3D"/>
    <w:rsid w:val="00D0744E"/>
    <w:rsid w:val="00D37B66"/>
    <w:rsid w:val="00D72894"/>
    <w:rsid w:val="00DA40DF"/>
    <w:rsid w:val="00DF2394"/>
    <w:rsid w:val="00E05F54"/>
    <w:rsid w:val="00E3415F"/>
    <w:rsid w:val="00E35C56"/>
    <w:rsid w:val="00E65FD0"/>
    <w:rsid w:val="00E76FD4"/>
    <w:rsid w:val="00E812E0"/>
    <w:rsid w:val="00E91D3B"/>
    <w:rsid w:val="00ED34A2"/>
    <w:rsid w:val="00F07453"/>
    <w:rsid w:val="00F227B5"/>
    <w:rsid w:val="00F31484"/>
    <w:rsid w:val="00F63D58"/>
    <w:rsid w:val="00F84912"/>
    <w:rsid w:val="00F92434"/>
    <w:rsid w:val="00F96A59"/>
    <w:rsid w:val="00FB2B10"/>
    <w:rsid w:val="00FC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
    <w:basedOn w:val="Normal"/>
    <w:link w:val="ListParagraphChar"/>
    <w:uiPriority w:val="34"/>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 w:type="character" w:styleId="Hyperlink">
    <w:name w:val="Hyperlink"/>
    <w:basedOn w:val="DefaultParagraphFont"/>
    <w:uiPriority w:val="99"/>
    <w:semiHidden/>
    <w:unhideWhenUsed/>
    <w:rsid w:val="003211C0"/>
    <w:rPr>
      <w:color w:val="0000FF"/>
      <w:u w:val="single"/>
    </w:rPr>
  </w:style>
  <w:style w:type="character" w:customStyle="1" w:styleId="ListParagraphChar">
    <w:name w:val="List Paragraph Char"/>
    <w:aliases w:val="2 Char,Strip Char,H&amp;P List Paragraph Char"/>
    <w:basedOn w:val="DefaultParagraphFont"/>
    <w:link w:val="ListParagraph"/>
    <w:locked/>
    <w:rsid w:val="00C81D90"/>
    <w:rPr>
      <w:rFonts w:ascii="Calibri" w:hAnsi="Calibri" w:cs="Times New Roman"/>
    </w:rPr>
  </w:style>
  <w:style w:type="character" w:customStyle="1" w:styleId="cspklasifikatorscode">
    <w:name w:val="csp_klasifikators_code"/>
    <w:basedOn w:val="DefaultParagraphFont"/>
    <w:rsid w:val="00C10338"/>
  </w:style>
  <w:style w:type="character" w:customStyle="1" w:styleId="cspklasifikatorscodename">
    <w:name w:val="csp_klasifikators_code_name"/>
    <w:basedOn w:val="DefaultParagraphFont"/>
    <w:rsid w:val="00C10338"/>
  </w:style>
  <w:style w:type="paragraph" w:styleId="NoSpacing">
    <w:name w:val="No Spacing"/>
    <w:basedOn w:val="Normal"/>
    <w:uiPriority w:val="1"/>
    <w:qFormat/>
    <w:rsid w:val="00E65FD0"/>
    <w:rPr>
      <w:rFonts w:ascii="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59377255">
      <w:bodyDiv w:val="1"/>
      <w:marLeft w:val="0"/>
      <w:marRight w:val="0"/>
      <w:marTop w:val="0"/>
      <w:marBottom w:val="0"/>
      <w:divBdr>
        <w:top w:val="none" w:sz="0" w:space="0" w:color="auto"/>
        <w:left w:val="none" w:sz="0" w:space="0" w:color="auto"/>
        <w:bottom w:val="none" w:sz="0" w:space="0" w:color="auto"/>
        <w:right w:val="none" w:sz="0" w:space="0" w:color="auto"/>
      </w:divBdr>
    </w:div>
    <w:div w:id="121505315">
      <w:bodyDiv w:val="1"/>
      <w:marLeft w:val="0"/>
      <w:marRight w:val="0"/>
      <w:marTop w:val="0"/>
      <w:marBottom w:val="0"/>
      <w:divBdr>
        <w:top w:val="none" w:sz="0" w:space="0" w:color="auto"/>
        <w:left w:val="none" w:sz="0" w:space="0" w:color="auto"/>
        <w:bottom w:val="none" w:sz="0" w:space="0" w:color="auto"/>
        <w:right w:val="none" w:sz="0" w:space="0" w:color="auto"/>
      </w:divBdr>
    </w:div>
    <w:div w:id="163278903">
      <w:bodyDiv w:val="1"/>
      <w:marLeft w:val="0"/>
      <w:marRight w:val="0"/>
      <w:marTop w:val="0"/>
      <w:marBottom w:val="0"/>
      <w:divBdr>
        <w:top w:val="none" w:sz="0" w:space="0" w:color="auto"/>
        <w:left w:val="none" w:sz="0" w:space="0" w:color="auto"/>
        <w:bottom w:val="none" w:sz="0" w:space="0" w:color="auto"/>
        <w:right w:val="none" w:sz="0" w:space="0" w:color="auto"/>
      </w:divBdr>
    </w:div>
    <w:div w:id="185215320">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278490288">
      <w:bodyDiv w:val="1"/>
      <w:marLeft w:val="0"/>
      <w:marRight w:val="0"/>
      <w:marTop w:val="0"/>
      <w:marBottom w:val="0"/>
      <w:divBdr>
        <w:top w:val="none" w:sz="0" w:space="0" w:color="auto"/>
        <w:left w:val="none" w:sz="0" w:space="0" w:color="auto"/>
        <w:bottom w:val="none" w:sz="0" w:space="0" w:color="auto"/>
        <w:right w:val="none" w:sz="0" w:space="0" w:color="auto"/>
      </w:divBdr>
    </w:div>
    <w:div w:id="280112174">
      <w:bodyDiv w:val="1"/>
      <w:marLeft w:val="0"/>
      <w:marRight w:val="0"/>
      <w:marTop w:val="0"/>
      <w:marBottom w:val="0"/>
      <w:divBdr>
        <w:top w:val="none" w:sz="0" w:space="0" w:color="auto"/>
        <w:left w:val="none" w:sz="0" w:space="0" w:color="auto"/>
        <w:bottom w:val="none" w:sz="0" w:space="0" w:color="auto"/>
        <w:right w:val="none" w:sz="0" w:space="0" w:color="auto"/>
      </w:divBdr>
    </w:div>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424422042">
      <w:bodyDiv w:val="1"/>
      <w:marLeft w:val="0"/>
      <w:marRight w:val="0"/>
      <w:marTop w:val="0"/>
      <w:marBottom w:val="0"/>
      <w:divBdr>
        <w:top w:val="none" w:sz="0" w:space="0" w:color="auto"/>
        <w:left w:val="none" w:sz="0" w:space="0" w:color="auto"/>
        <w:bottom w:val="none" w:sz="0" w:space="0" w:color="auto"/>
        <w:right w:val="none" w:sz="0" w:space="0" w:color="auto"/>
      </w:divBdr>
    </w:div>
    <w:div w:id="457340982">
      <w:bodyDiv w:val="1"/>
      <w:marLeft w:val="0"/>
      <w:marRight w:val="0"/>
      <w:marTop w:val="0"/>
      <w:marBottom w:val="0"/>
      <w:divBdr>
        <w:top w:val="none" w:sz="0" w:space="0" w:color="auto"/>
        <w:left w:val="none" w:sz="0" w:space="0" w:color="auto"/>
        <w:bottom w:val="none" w:sz="0" w:space="0" w:color="auto"/>
        <w:right w:val="none" w:sz="0" w:space="0" w:color="auto"/>
      </w:divBdr>
    </w:div>
    <w:div w:id="468744360">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586614538">
      <w:bodyDiv w:val="1"/>
      <w:marLeft w:val="0"/>
      <w:marRight w:val="0"/>
      <w:marTop w:val="0"/>
      <w:marBottom w:val="0"/>
      <w:divBdr>
        <w:top w:val="none" w:sz="0" w:space="0" w:color="auto"/>
        <w:left w:val="none" w:sz="0" w:space="0" w:color="auto"/>
        <w:bottom w:val="none" w:sz="0" w:space="0" w:color="auto"/>
        <w:right w:val="none" w:sz="0" w:space="0" w:color="auto"/>
      </w:divBdr>
    </w:div>
    <w:div w:id="590507178">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716781301">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96680341">
      <w:bodyDiv w:val="1"/>
      <w:marLeft w:val="0"/>
      <w:marRight w:val="0"/>
      <w:marTop w:val="0"/>
      <w:marBottom w:val="0"/>
      <w:divBdr>
        <w:top w:val="none" w:sz="0" w:space="0" w:color="auto"/>
        <w:left w:val="none" w:sz="0" w:space="0" w:color="auto"/>
        <w:bottom w:val="none" w:sz="0" w:space="0" w:color="auto"/>
        <w:right w:val="none" w:sz="0" w:space="0" w:color="auto"/>
      </w:divBdr>
    </w:div>
    <w:div w:id="834609121">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959338732">
      <w:bodyDiv w:val="1"/>
      <w:marLeft w:val="0"/>
      <w:marRight w:val="0"/>
      <w:marTop w:val="0"/>
      <w:marBottom w:val="0"/>
      <w:divBdr>
        <w:top w:val="none" w:sz="0" w:space="0" w:color="auto"/>
        <w:left w:val="none" w:sz="0" w:space="0" w:color="auto"/>
        <w:bottom w:val="none" w:sz="0" w:space="0" w:color="auto"/>
        <w:right w:val="none" w:sz="0" w:space="0" w:color="auto"/>
      </w:divBdr>
    </w:div>
    <w:div w:id="973755202">
      <w:bodyDiv w:val="1"/>
      <w:marLeft w:val="0"/>
      <w:marRight w:val="0"/>
      <w:marTop w:val="0"/>
      <w:marBottom w:val="0"/>
      <w:divBdr>
        <w:top w:val="none" w:sz="0" w:space="0" w:color="auto"/>
        <w:left w:val="none" w:sz="0" w:space="0" w:color="auto"/>
        <w:bottom w:val="none" w:sz="0" w:space="0" w:color="auto"/>
        <w:right w:val="none" w:sz="0" w:space="0" w:color="auto"/>
      </w:divBdr>
    </w:div>
    <w:div w:id="1012729993">
      <w:bodyDiv w:val="1"/>
      <w:marLeft w:val="0"/>
      <w:marRight w:val="0"/>
      <w:marTop w:val="0"/>
      <w:marBottom w:val="0"/>
      <w:divBdr>
        <w:top w:val="none" w:sz="0" w:space="0" w:color="auto"/>
        <w:left w:val="none" w:sz="0" w:space="0" w:color="auto"/>
        <w:bottom w:val="none" w:sz="0" w:space="0" w:color="auto"/>
        <w:right w:val="none" w:sz="0" w:space="0" w:color="auto"/>
      </w:divBdr>
    </w:div>
    <w:div w:id="1016031879">
      <w:bodyDiv w:val="1"/>
      <w:marLeft w:val="0"/>
      <w:marRight w:val="0"/>
      <w:marTop w:val="0"/>
      <w:marBottom w:val="0"/>
      <w:divBdr>
        <w:top w:val="none" w:sz="0" w:space="0" w:color="auto"/>
        <w:left w:val="none" w:sz="0" w:space="0" w:color="auto"/>
        <w:bottom w:val="none" w:sz="0" w:space="0" w:color="auto"/>
        <w:right w:val="none" w:sz="0" w:space="0" w:color="auto"/>
      </w:divBdr>
    </w:div>
    <w:div w:id="1020401306">
      <w:bodyDiv w:val="1"/>
      <w:marLeft w:val="0"/>
      <w:marRight w:val="0"/>
      <w:marTop w:val="0"/>
      <w:marBottom w:val="0"/>
      <w:divBdr>
        <w:top w:val="none" w:sz="0" w:space="0" w:color="auto"/>
        <w:left w:val="none" w:sz="0" w:space="0" w:color="auto"/>
        <w:bottom w:val="none" w:sz="0" w:space="0" w:color="auto"/>
        <w:right w:val="none" w:sz="0" w:space="0" w:color="auto"/>
      </w:divBdr>
    </w:div>
    <w:div w:id="1101530346">
      <w:bodyDiv w:val="1"/>
      <w:marLeft w:val="0"/>
      <w:marRight w:val="0"/>
      <w:marTop w:val="0"/>
      <w:marBottom w:val="0"/>
      <w:divBdr>
        <w:top w:val="none" w:sz="0" w:space="0" w:color="auto"/>
        <w:left w:val="none" w:sz="0" w:space="0" w:color="auto"/>
        <w:bottom w:val="none" w:sz="0" w:space="0" w:color="auto"/>
        <w:right w:val="none" w:sz="0" w:space="0" w:color="auto"/>
      </w:divBdr>
    </w:div>
    <w:div w:id="1153911011">
      <w:bodyDiv w:val="1"/>
      <w:marLeft w:val="0"/>
      <w:marRight w:val="0"/>
      <w:marTop w:val="0"/>
      <w:marBottom w:val="0"/>
      <w:divBdr>
        <w:top w:val="none" w:sz="0" w:space="0" w:color="auto"/>
        <w:left w:val="none" w:sz="0" w:space="0" w:color="auto"/>
        <w:bottom w:val="none" w:sz="0" w:space="0" w:color="auto"/>
        <w:right w:val="none" w:sz="0" w:space="0" w:color="auto"/>
      </w:divBdr>
    </w:div>
    <w:div w:id="1172791135">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215501884">
      <w:bodyDiv w:val="1"/>
      <w:marLeft w:val="0"/>
      <w:marRight w:val="0"/>
      <w:marTop w:val="0"/>
      <w:marBottom w:val="0"/>
      <w:divBdr>
        <w:top w:val="none" w:sz="0" w:space="0" w:color="auto"/>
        <w:left w:val="none" w:sz="0" w:space="0" w:color="auto"/>
        <w:bottom w:val="none" w:sz="0" w:space="0" w:color="auto"/>
        <w:right w:val="none" w:sz="0" w:space="0" w:color="auto"/>
      </w:divBdr>
    </w:div>
    <w:div w:id="1295410974">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375621011">
      <w:bodyDiv w:val="1"/>
      <w:marLeft w:val="0"/>
      <w:marRight w:val="0"/>
      <w:marTop w:val="0"/>
      <w:marBottom w:val="0"/>
      <w:divBdr>
        <w:top w:val="none" w:sz="0" w:space="0" w:color="auto"/>
        <w:left w:val="none" w:sz="0" w:space="0" w:color="auto"/>
        <w:bottom w:val="none" w:sz="0" w:space="0" w:color="auto"/>
        <w:right w:val="none" w:sz="0" w:space="0" w:color="auto"/>
      </w:divBdr>
    </w:div>
    <w:div w:id="1422215295">
      <w:bodyDiv w:val="1"/>
      <w:marLeft w:val="0"/>
      <w:marRight w:val="0"/>
      <w:marTop w:val="0"/>
      <w:marBottom w:val="0"/>
      <w:divBdr>
        <w:top w:val="none" w:sz="0" w:space="0" w:color="auto"/>
        <w:left w:val="none" w:sz="0" w:space="0" w:color="auto"/>
        <w:bottom w:val="none" w:sz="0" w:space="0" w:color="auto"/>
        <w:right w:val="none" w:sz="0" w:space="0" w:color="auto"/>
      </w:divBdr>
    </w:div>
    <w:div w:id="1425684060">
      <w:bodyDiv w:val="1"/>
      <w:marLeft w:val="0"/>
      <w:marRight w:val="0"/>
      <w:marTop w:val="0"/>
      <w:marBottom w:val="0"/>
      <w:divBdr>
        <w:top w:val="none" w:sz="0" w:space="0" w:color="auto"/>
        <w:left w:val="none" w:sz="0" w:space="0" w:color="auto"/>
        <w:bottom w:val="none" w:sz="0" w:space="0" w:color="auto"/>
        <w:right w:val="none" w:sz="0" w:space="0" w:color="auto"/>
      </w:divBdr>
    </w:div>
    <w:div w:id="1587957818">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819761694">
      <w:bodyDiv w:val="1"/>
      <w:marLeft w:val="0"/>
      <w:marRight w:val="0"/>
      <w:marTop w:val="0"/>
      <w:marBottom w:val="0"/>
      <w:divBdr>
        <w:top w:val="none" w:sz="0" w:space="0" w:color="auto"/>
        <w:left w:val="none" w:sz="0" w:space="0" w:color="auto"/>
        <w:bottom w:val="none" w:sz="0" w:space="0" w:color="auto"/>
        <w:right w:val="none" w:sz="0" w:space="0" w:color="auto"/>
      </w:divBdr>
    </w:div>
    <w:div w:id="1892883439">
      <w:bodyDiv w:val="1"/>
      <w:marLeft w:val="0"/>
      <w:marRight w:val="0"/>
      <w:marTop w:val="0"/>
      <w:marBottom w:val="0"/>
      <w:divBdr>
        <w:top w:val="none" w:sz="0" w:space="0" w:color="auto"/>
        <w:left w:val="none" w:sz="0" w:space="0" w:color="auto"/>
        <w:bottom w:val="none" w:sz="0" w:space="0" w:color="auto"/>
        <w:right w:val="none" w:sz="0" w:space="0" w:color="auto"/>
      </w:divBdr>
    </w:div>
    <w:div w:id="1899897929">
      <w:bodyDiv w:val="1"/>
      <w:marLeft w:val="0"/>
      <w:marRight w:val="0"/>
      <w:marTop w:val="0"/>
      <w:marBottom w:val="0"/>
      <w:divBdr>
        <w:top w:val="none" w:sz="0" w:space="0" w:color="auto"/>
        <w:left w:val="none" w:sz="0" w:space="0" w:color="auto"/>
        <w:bottom w:val="none" w:sz="0" w:space="0" w:color="auto"/>
        <w:right w:val="none" w:sz="0" w:space="0" w:color="auto"/>
      </w:divBdr>
    </w:div>
    <w:div w:id="192429440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1969361799">
      <w:bodyDiv w:val="1"/>
      <w:marLeft w:val="0"/>
      <w:marRight w:val="0"/>
      <w:marTop w:val="0"/>
      <w:marBottom w:val="0"/>
      <w:divBdr>
        <w:top w:val="none" w:sz="0" w:space="0" w:color="auto"/>
        <w:left w:val="none" w:sz="0" w:space="0" w:color="auto"/>
        <w:bottom w:val="none" w:sz="0" w:space="0" w:color="auto"/>
        <w:right w:val="none" w:sz="0" w:space="0" w:color="auto"/>
      </w:divBdr>
    </w:div>
    <w:div w:id="1987394790">
      <w:bodyDiv w:val="1"/>
      <w:marLeft w:val="0"/>
      <w:marRight w:val="0"/>
      <w:marTop w:val="0"/>
      <w:marBottom w:val="0"/>
      <w:divBdr>
        <w:top w:val="none" w:sz="0" w:space="0" w:color="auto"/>
        <w:left w:val="none" w:sz="0" w:space="0" w:color="auto"/>
        <w:bottom w:val="none" w:sz="0" w:space="0" w:color="auto"/>
        <w:right w:val="none" w:sz="0" w:space="0" w:color="auto"/>
      </w:divBdr>
    </w:div>
    <w:div w:id="2071150157">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 w:id="21254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k" TargetMode="External"/><Relationship Id="rId5" Type="http://schemas.openxmlformats.org/officeDocument/2006/relationships/hyperlink" Target="http://eur-lex.europa.eu/eli/reg/2014/651?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B77EFFD2</Template>
  <TotalTime>1074</TotalTime>
  <Pages>5</Pages>
  <Words>9328</Words>
  <Characters>5318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10</cp:revision>
  <dcterms:created xsi:type="dcterms:W3CDTF">2016-08-12T11:31:00Z</dcterms:created>
  <dcterms:modified xsi:type="dcterms:W3CDTF">2016-08-19T12:41:00Z</dcterms:modified>
</cp:coreProperties>
</file>