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255" w:type="dxa"/>
        <w:tblLook w:val="04A0" w:firstRow="1" w:lastRow="0" w:firstColumn="1" w:lastColumn="0" w:noHBand="0" w:noVBand="1"/>
      </w:tblPr>
      <w:tblGrid>
        <w:gridCol w:w="9639"/>
      </w:tblGrid>
      <w:tr w:rsidR="00934856" w:rsidRPr="00934856" w14:paraId="49B6ED26" w14:textId="77777777" w:rsidTr="00916DFD">
        <w:tc>
          <w:tcPr>
            <w:tcW w:w="9639" w:type="dxa"/>
            <w:shd w:val="clear" w:color="auto" w:fill="D9D9D9" w:themeFill="background1" w:themeFillShade="D9"/>
            <w:hideMark/>
          </w:tcPr>
          <w:p w14:paraId="08C6BA0A" w14:textId="77777777" w:rsidR="00934856" w:rsidRPr="00934856" w:rsidRDefault="00934856" w:rsidP="00D27BD7">
            <w:pPr>
              <w:spacing w:after="160" w:line="276" w:lineRule="auto"/>
              <w:jc w:val="center"/>
              <w:rPr>
                <w:rFonts w:ascii="Times New Roman" w:hAnsi="Times New Roman"/>
                <w:b/>
                <w:sz w:val="26"/>
                <w:szCs w:val="26"/>
              </w:rPr>
            </w:pPr>
            <w:bookmarkStart w:id="0" w:name="_GoBack"/>
            <w:bookmarkEnd w:id="0"/>
            <w:r w:rsidRPr="00934856">
              <w:rPr>
                <w:rFonts w:ascii="Times New Roman" w:hAnsi="Times New Roman"/>
                <w:b/>
                <w:sz w:val="26"/>
                <w:szCs w:val="26"/>
              </w:rPr>
              <w:t>Atbildes uz saņemtajiem jautājumiem par</w:t>
            </w:r>
          </w:p>
          <w:p w14:paraId="4ADBCDF3" w14:textId="77777777" w:rsidR="00934856" w:rsidRPr="00934856" w:rsidRDefault="00934856" w:rsidP="00D27BD7">
            <w:pPr>
              <w:spacing w:after="160" w:line="276" w:lineRule="auto"/>
              <w:jc w:val="center"/>
              <w:rPr>
                <w:rFonts w:ascii="Times New Roman" w:hAnsi="Times New Roman"/>
                <w:b/>
                <w:sz w:val="26"/>
                <w:szCs w:val="26"/>
              </w:rPr>
            </w:pPr>
            <w:r w:rsidRPr="00934856">
              <w:rPr>
                <w:rFonts w:ascii="Times New Roman" w:hAnsi="Times New Roman"/>
                <w:b/>
                <w:sz w:val="26"/>
                <w:szCs w:val="26"/>
              </w:rPr>
              <w:t>darbības programmas “Izaugsme un nodarbinātība”</w:t>
            </w:r>
          </w:p>
          <w:p w14:paraId="6D78C595" w14:textId="1A83994B" w:rsidR="00934856" w:rsidRPr="00934856" w:rsidRDefault="00934856" w:rsidP="00D27BD7">
            <w:pPr>
              <w:spacing w:after="160" w:line="276" w:lineRule="auto"/>
              <w:jc w:val="center"/>
              <w:rPr>
                <w:rFonts w:ascii="Times New Roman" w:hAnsi="Times New Roman"/>
                <w:b/>
                <w:sz w:val="26"/>
                <w:szCs w:val="26"/>
              </w:rPr>
            </w:pPr>
            <w:r w:rsidRPr="00934856">
              <w:rPr>
                <w:rFonts w:ascii="Times New Roman" w:hAnsi="Times New Roman"/>
                <w:b/>
                <w:sz w:val="26"/>
                <w:szCs w:val="26"/>
              </w:rPr>
              <w:t>3.1.1.</w:t>
            </w:r>
            <w:r>
              <w:rPr>
                <w:rFonts w:ascii="Times New Roman" w:hAnsi="Times New Roman"/>
                <w:b/>
                <w:sz w:val="26"/>
                <w:szCs w:val="26"/>
              </w:rPr>
              <w:t> </w:t>
            </w:r>
            <w:r w:rsidRPr="00934856">
              <w:rPr>
                <w:rFonts w:ascii="Times New Roman" w:hAnsi="Times New Roman"/>
                <w:b/>
                <w:sz w:val="26"/>
                <w:szCs w:val="26"/>
              </w:rPr>
              <w:t>specifiskā atbalsta mērķa “Sekmēt mazo, vidējo komersantu izveidi un attīstību, īpaši apstrādes rūpniecībā un RIS3 prioritārajās nozarēs” 3.1.1.3.</w:t>
            </w:r>
            <w:r>
              <w:rPr>
                <w:rFonts w:ascii="Times New Roman" w:hAnsi="Times New Roman"/>
                <w:b/>
                <w:sz w:val="26"/>
                <w:szCs w:val="26"/>
              </w:rPr>
              <w:t> </w:t>
            </w:r>
            <w:r w:rsidRPr="00934856">
              <w:rPr>
                <w:rFonts w:ascii="Times New Roman" w:hAnsi="Times New Roman"/>
                <w:b/>
                <w:sz w:val="26"/>
                <w:szCs w:val="26"/>
              </w:rPr>
              <w:t>pasākuma “Atbalsts mazo, vidējo komersantu finansējuma piesaistei kapitāla tirgos”</w:t>
            </w:r>
          </w:p>
          <w:p w14:paraId="4D40CAF5" w14:textId="5E7C2C97" w:rsidR="00934856" w:rsidRPr="00934856" w:rsidRDefault="00A350DB" w:rsidP="00D27BD7">
            <w:pPr>
              <w:spacing w:after="160" w:line="276" w:lineRule="auto"/>
              <w:jc w:val="center"/>
              <w:rPr>
                <w:rFonts w:ascii="Times New Roman" w:hAnsi="Times New Roman"/>
                <w:b/>
                <w:sz w:val="26"/>
                <w:szCs w:val="26"/>
              </w:rPr>
            </w:pPr>
            <w:r>
              <w:rPr>
                <w:rFonts w:ascii="Times New Roman" w:hAnsi="Times New Roman"/>
                <w:b/>
                <w:sz w:val="26"/>
                <w:szCs w:val="26"/>
              </w:rPr>
              <w:t>o</w:t>
            </w:r>
            <w:r w:rsidR="00934856">
              <w:rPr>
                <w:rFonts w:ascii="Times New Roman" w:hAnsi="Times New Roman"/>
                <w:b/>
                <w:sz w:val="26"/>
                <w:szCs w:val="26"/>
              </w:rPr>
              <w:t xml:space="preserve">trās </w:t>
            </w:r>
            <w:r w:rsidR="00934856" w:rsidRPr="00934856">
              <w:rPr>
                <w:rFonts w:ascii="Times New Roman" w:hAnsi="Times New Roman"/>
                <w:b/>
                <w:sz w:val="26"/>
                <w:szCs w:val="26"/>
              </w:rPr>
              <w:t>projektu iesniegumu atlases kārtas nosacījumiem</w:t>
            </w:r>
          </w:p>
        </w:tc>
      </w:tr>
      <w:tr w:rsidR="00934856" w:rsidRPr="00934856" w14:paraId="2D3AEBF5" w14:textId="77777777" w:rsidTr="00916DFD">
        <w:tc>
          <w:tcPr>
            <w:tcW w:w="9639" w:type="dxa"/>
          </w:tcPr>
          <w:p w14:paraId="720340C6" w14:textId="495D3A45" w:rsidR="00934856" w:rsidRP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Saīsinājumi un apzīmējumi:</w:t>
            </w:r>
          </w:p>
          <w:p w14:paraId="01D8EA6A" w14:textId="28D93CE4" w:rsidR="00934856" w:rsidRPr="00934856" w:rsidRDefault="00934856" w:rsidP="00D27BD7">
            <w:pPr>
              <w:spacing w:after="160" w:line="276" w:lineRule="auto"/>
              <w:jc w:val="both"/>
              <w:rPr>
                <w:rFonts w:ascii="Times New Roman" w:hAnsi="Times New Roman"/>
                <w:bCs/>
                <w:sz w:val="24"/>
                <w:szCs w:val="24"/>
                <w:shd w:val="clear" w:color="auto" w:fill="FFFFFF"/>
              </w:rPr>
            </w:pPr>
            <w:r w:rsidRPr="00934856">
              <w:rPr>
                <w:rFonts w:ascii="Times New Roman" w:hAnsi="Times New Roman"/>
                <w:sz w:val="24"/>
                <w:szCs w:val="24"/>
              </w:rPr>
              <w:t xml:space="preserve">Atlases nolikums – </w:t>
            </w:r>
            <w:r w:rsidRPr="00934856">
              <w:rPr>
                <w:rFonts w:ascii="Times New Roman" w:hAnsi="Times New Roman"/>
                <w:bCs/>
                <w:sz w:val="24"/>
                <w:szCs w:val="24"/>
                <w:shd w:val="clear" w:color="auto" w:fill="FFFFFF"/>
              </w:rPr>
              <w:t>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pirmās projektu iesniegumu atlases kārtas nolikums;</w:t>
            </w:r>
          </w:p>
          <w:p w14:paraId="5E858A16" w14:textId="25C55770" w:rsidR="00934856" w:rsidRP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ERAF – Eiropas Reģionālās attīstības fonds;</w:t>
            </w:r>
          </w:p>
          <w:p w14:paraId="440F4AAE" w14:textId="493BA087" w:rsidR="00934856" w:rsidRP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MK</w:t>
            </w:r>
            <w:r w:rsidR="00A350DB">
              <w:rPr>
                <w:rFonts w:ascii="Times New Roman" w:hAnsi="Times New Roman"/>
                <w:sz w:val="24"/>
                <w:szCs w:val="24"/>
              </w:rPr>
              <w:t> </w:t>
            </w:r>
            <w:r w:rsidRPr="00934856">
              <w:rPr>
                <w:rFonts w:ascii="Times New Roman" w:hAnsi="Times New Roman"/>
                <w:sz w:val="24"/>
                <w:szCs w:val="24"/>
              </w:rPr>
              <w:t>noteikumi</w:t>
            </w:r>
            <w:r>
              <w:rPr>
                <w:rFonts w:ascii="Times New Roman" w:hAnsi="Times New Roman"/>
                <w:sz w:val="24"/>
                <w:szCs w:val="24"/>
              </w:rPr>
              <w:t> </w:t>
            </w:r>
            <w:r w:rsidRPr="00934856">
              <w:rPr>
                <w:rFonts w:ascii="Times New Roman" w:hAnsi="Times New Roman"/>
                <w:sz w:val="24"/>
                <w:szCs w:val="24"/>
              </w:rPr>
              <w:t xml:space="preserve">– </w:t>
            </w:r>
            <w:hyperlink r:id="rId7" w:history="1">
              <w:r w:rsidRPr="00243A81">
                <w:rPr>
                  <w:rStyle w:val="Hyperlink"/>
                  <w:rFonts w:ascii="Times New Roman" w:hAnsi="Times New Roman"/>
                  <w:sz w:val="24"/>
                  <w:szCs w:val="24"/>
                </w:rPr>
                <w:t xml:space="preserve">Ministru kabineta 2020. gada 21. janvāra noteikumi Nr. 35 “Darbības programmas “Izaugsme un nodarbinātība” </w:t>
              </w:r>
              <w:r w:rsidRPr="00243A81">
                <w:rPr>
                  <w:rStyle w:val="Hyperlink"/>
                  <w:rFonts w:ascii="Times New Roman" w:hAnsi="Times New Roman"/>
                  <w:bCs/>
                  <w:sz w:val="24"/>
                  <w:szCs w:val="24"/>
                  <w:shd w:val="clear" w:color="auto" w:fill="FFFFFF"/>
                </w:rPr>
                <w:t xml:space="preserve">3.1.1. specifiskā atbalsta mērķa “Sekmēt mazo, vidējo komersantu izveidi un attīstību, īpaši apstrādes rūpniecībā un RIS3 prioritārajās nozarēs” 3.1.1.3. pasākuma “Atbalsts mazo, vidējo komersantu finansējuma piesaistei kapitāla tirgos” </w:t>
              </w:r>
              <w:r w:rsidRPr="00243A81">
                <w:rPr>
                  <w:rStyle w:val="Hyperlink"/>
                  <w:rFonts w:ascii="Times New Roman" w:hAnsi="Times New Roman"/>
                  <w:sz w:val="24"/>
                  <w:szCs w:val="24"/>
                </w:rPr>
                <w:t>īstenošanas noteikumi”</w:t>
              </w:r>
            </w:hyperlink>
            <w:r w:rsidRPr="00934856">
              <w:rPr>
                <w:rFonts w:ascii="Times New Roman" w:hAnsi="Times New Roman"/>
                <w:sz w:val="24"/>
                <w:szCs w:val="24"/>
              </w:rPr>
              <w:t>;</w:t>
            </w:r>
          </w:p>
          <w:p w14:paraId="19B0C324" w14:textId="476EFB4D" w:rsidR="00934856" w:rsidRPr="00934856" w:rsidRDefault="00934856" w:rsidP="00D27BD7">
            <w:pPr>
              <w:spacing w:after="160" w:line="276" w:lineRule="auto"/>
              <w:jc w:val="both"/>
              <w:rPr>
                <w:rFonts w:ascii="Times New Roman" w:hAnsi="Times New Roman"/>
                <w:sz w:val="24"/>
                <w:szCs w:val="24"/>
                <w:highlight w:val="yellow"/>
              </w:rPr>
            </w:pPr>
            <w:r w:rsidRPr="00934856">
              <w:rPr>
                <w:rFonts w:ascii="Times New Roman" w:hAnsi="Times New Roman"/>
                <w:sz w:val="24"/>
                <w:szCs w:val="24"/>
              </w:rPr>
              <w:t>SAMP</w:t>
            </w:r>
            <w:r w:rsidR="00A350DB">
              <w:rPr>
                <w:rFonts w:ascii="Times New Roman" w:hAnsi="Times New Roman"/>
                <w:sz w:val="24"/>
                <w:szCs w:val="24"/>
              </w:rPr>
              <w:t> </w:t>
            </w:r>
            <w:r w:rsidRPr="00934856">
              <w:rPr>
                <w:rFonts w:ascii="Times New Roman" w:hAnsi="Times New Roman"/>
                <w:sz w:val="24"/>
                <w:szCs w:val="24"/>
              </w:rPr>
              <w:t xml:space="preserve">3.1.1.3. – darbības programmas “Izaugsme un nodarbinātība” </w:t>
            </w:r>
            <w:r w:rsidRPr="00934856">
              <w:rPr>
                <w:rFonts w:ascii="Times New Roman" w:hAnsi="Times New Roman"/>
                <w:bCs/>
                <w:sz w:val="24"/>
                <w:szCs w:val="24"/>
                <w:shd w:val="clear" w:color="auto" w:fill="FFFFFF"/>
              </w:rPr>
              <w:t>3.1.1. specifiskā atbalsta mērķa “Sekmēt mazo, vidējo komersantu izveidi un attīstību, īpaši apstrādes rūpniecībā un RIS3 prioritārajās nozarēs” 3.1.1.3. pasākums “Atbalsts mazo, vidējo komersantu finansējuma piesaistei kapitāla tirgos”</w:t>
            </w:r>
            <w:r w:rsidRPr="00934856">
              <w:rPr>
                <w:rFonts w:ascii="Times New Roman" w:hAnsi="Times New Roman"/>
                <w:sz w:val="24"/>
                <w:szCs w:val="24"/>
              </w:rPr>
              <w:t>.</w:t>
            </w:r>
          </w:p>
        </w:tc>
      </w:tr>
      <w:tr w:rsidR="00934856" w:rsidRPr="00934856" w14:paraId="0E6BA1EB" w14:textId="77777777" w:rsidTr="00916DFD">
        <w:tc>
          <w:tcPr>
            <w:tcW w:w="9639" w:type="dxa"/>
            <w:shd w:val="clear" w:color="auto" w:fill="D9D9D9" w:themeFill="background1" w:themeFillShade="D9"/>
          </w:tcPr>
          <w:p w14:paraId="487AF277" w14:textId="57194AD9" w:rsidR="00934856" w:rsidRPr="00934856" w:rsidRDefault="00934856" w:rsidP="00D27BD7">
            <w:pPr>
              <w:spacing w:after="160" w:line="276" w:lineRule="auto"/>
              <w:contextualSpacing/>
              <w:jc w:val="both"/>
              <w:rPr>
                <w:rFonts w:ascii="Times New Roman" w:hAnsi="Times New Roman"/>
                <w:sz w:val="24"/>
                <w:szCs w:val="24"/>
                <w:lang w:eastAsia="lv-LV"/>
              </w:rPr>
            </w:pPr>
            <w:r w:rsidRPr="00934856">
              <w:rPr>
                <w:rFonts w:ascii="Times New Roman" w:hAnsi="Times New Roman"/>
                <w:sz w:val="24"/>
                <w:szCs w:val="24"/>
                <w:lang w:eastAsia="lv-LV"/>
              </w:rPr>
              <w:t>1.</w:t>
            </w:r>
            <w:r w:rsidRPr="007F443D">
              <w:rPr>
                <w:rFonts w:ascii="Times New Roman" w:hAnsi="Times New Roman"/>
                <w:sz w:val="24"/>
                <w:szCs w:val="24"/>
                <w:lang w:eastAsia="lv-LV"/>
              </w:rPr>
              <w:t> </w:t>
            </w:r>
            <w:r w:rsidRPr="00934856">
              <w:rPr>
                <w:rFonts w:ascii="Times New Roman" w:hAnsi="Times New Roman"/>
                <w:sz w:val="24"/>
                <w:szCs w:val="24"/>
                <w:lang w:eastAsia="lv-LV"/>
              </w:rPr>
              <w:t>jautājums:</w:t>
            </w:r>
          </w:p>
          <w:p w14:paraId="3F35CFA4" w14:textId="49FF3069" w:rsidR="00934856" w:rsidRPr="00934856" w:rsidRDefault="00934856" w:rsidP="00D27BD7">
            <w:pPr>
              <w:spacing w:line="276" w:lineRule="auto"/>
              <w:jc w:val="both"/>
              <w:rPr>
                <w:rFonts w:ascii="Times" w:hAnsi="Times"/>
                <w:sz w:val="24"/>
                <w:szCs w:val="24"/>
              </w:rPr>
            </w:pPr>
            <w:r w:rsidRPr="007F443D">
              <w:rPr>
                <w:rFonts w:ascii="Times" w:hAnsi="Times"/>
                <w:sz w:val="24"/>
                <w:szCs w:val="24"/>
              </w:rPr>
              <w:t>Kā tiek noteikta projekta gatavības pakāpe? Vai, ja projekta iesniedzējs ir noslēdzis līgumu ar emisijas organizētāju, bet par pārējām izmaksu pozīcijām vēl nav veikta tirgus izpēte, gatavība ir uzskatāma par vidēju vai augstu?</w:t>
            </w:r>
          </w:p>
        </w:tc>
      </w:tr>
      <w:tr w:rsidR="00934856" w:rsidRPr="00934856" w14:paraId="1C855D33" w14:textId="77777777" w:rsidTr="00916DFD">
        <w:tc>
          <w:tcPr>
            <w:tcW w:w="9639" w:type="dxa"/>
          </w:tcPr>
          <w:p w14:paraId="5812408A" w14:textId="77777777" w:rsidR="00934856" w:rsidRPr="00934856" w:rsidRDefault="00934856" w:rsidP="00D27BD7">
            <w:pPr>
              <w:spacing w:after="160" w:line="276" w:lineRule="auto"/>
              <w:jc w:val="both"/>
              <w:rPr>
                <w:rFonts w:ascii="Times New Roman" w:hAnsi="Times New Roman"/>
                <w:sz w:val="24"/>
                <w:szCs w:val="24"/>
                <w:lang w:eastAsia="lv-LV"/>
              </w:rPr>
            </w:pPr>
            <w:r w:rsidRPr="00934856">
              <w:rPr>
                <w:rFonts w:ascii="Times New Roman" w:hAnsi="Times New Roman"/>
                <w:sz w:val="24"/>
                <w:szCs w:val="24"/>
                <w:lang w:eastAsia="lv-LV"/>
              </w:rPr>
              <w:t>Atbilde uz 1. jautājumu:</w:t>
            </w:r>
          </w:p>
          <w:p w14:paraId="760826BF" w14:textId="2C3DC098" w:rsidR="00934856" w:rsidRPr="00934856" w:rsidRDefault="00934856" w:rsidP="00D27BD7">
            <w:pPr>
              <w:spacing w:line="276" w:lineRule="auto"/>
              <w:contextualSpacing/>
              <w:jc w:val="both"/>
              <w:rPr>
                <w:rFonts w:ascii="Times New Roman" w:hAnsi="Times New Roman"/>
                <w:sz w:val="24"/>
                <w:szCs w:val="24"/>
                <w:lang w:eastAsia="lv-LV"/>
              </w:rPr>
            </w:pPr>
            <w:r w:rsidRPr="00934856">
              <w:rPr>
                <w:rFonts w:ascii="Times New Roman" w:hAnsi="Times New Roman"/>
                <w:sz w:val="24"/>
                <w:szCs w:val="24"/>
                <w:lang w:eastAsia="lv-LV"/>
              </w:rPr>
              <w:t>Projektam izšķiramas 3 gatavības pakāpes, kas tiek attiecīgi vērtētas kvalitātes kritērijā Nr. 3.1.:</w:t>
            </w:r>
          </w:p>
          <w:p w14:paraId="3B6A98B6" w14:textId="584B4A52" w:rsidR="00934856" w:rsidRDefault="00934856" w:rsidP="00D27BD7">
            <w:pPr>
              <w:pStyle w:val="ListParagraph"/>
              <w:numPr>
                <w:ilvl w:val="0"/>
                <w:numId w:val="8"/>
              </w:numPr>
              <w:spacing w:line="276" w:lineRule="auto"/>
              <w:ind w:left="418" w:hanging="349"/>
              <w:jc w:val="both"/>
              <w:rPr>
                <w:rFonts w:ascii="Times New Roman" w:hAnsi="Times New Roman"/>
                <w:sz w:val="24"/>
                <w:szCs w:val="24"/>
                <w:lang w:eastAsia="lv-LV"/>
              </w:rPr>
            </w:pPr>
            <w:r w:rsidRPr="00934856">
              <w:rPr>
                <w:rFonts w:ascii="Times New Roman" w:hAnsi="Times New Roman"/>
                <w:sz w:val="24"/>
                <w:szCs w:val="24"/>
                <w:lang w:eastAsia="lv-LV"/>
              </w:rPr>
              <w:t xml:space="preserve">Projekta gatavības stadija ir vērtējama kā augsta, ja </w:t>
            </w:r>
            <w:r w:rsidRPr="00934856">
              <w:rPr>
                <w:rFonts w:ascii="Times New Roman" w:hAnsi="Times New Roman"/>
                <w:b/>
                <w:bCs/>
                <w:sz w:val="24"/>
                <w:szCs w:val="24"/>
                <w:lang w:eastAsia="lv-LV"/>
              </w:rPr>
              <w:t>ir veikts iepirkums (vai vairāki iepirkumi, ja par projektā atbalstāmo darbību veikšanu slēdzami vairāki pakalpojumu līgumi)</w:t>
            </w:r>
            <w:r w:rsidRPr="00934856">
              <w:rPr>
                <w:rFonts w:ascii="Times New Roman" w:hAnsi="Times New Roman"/>
                <w:sz w:val="24"/>
                <w:szCs w:val="24"/>
                <w:lang w:eastAsia="lv-LV"/>
              </w:rPr>
              <w:t>, un iepirkuma pārskats (vai vairāki) ir pievienots projekta iesnieguma pielikumā, t.i., iepirkums veikts par visām projekta izmaksām, un  projekta iesnieguma pielikumā ir pievienota līguma ar emisijas organizētāju kopija par MK</w:t>
            </w:r>
            <w:r w:rsidR="00A350DB">
              <w:rPr>
                <w:rFonts w:ascii="Times New Roman" w:hAnsi="Times New Roman"/>
                <w:sz w:val="24"/>
                <w:szCs w:val="24"/>
                <w:lang w:eastAsia="lv-LV"/>
              </w:rPr>
              <w:t> </w:t>
            </w:r>
            <w:r w:rsidRPr="00934856">
              <w:rPr>
                <w:rFonts w:ascii="Times New Roman" w:hAnsi="Times New Roman"/>
                <w:sz w:val="24"/>
                <w:szCs w:val="24"/>
                <w:lang w:eastAsia="lv-LV"/>
              </w:rPr>
              <w:t>noteikumu 17.1., 17.2. un/vai 17.3. punktā noteikto pakalpojumu sniegšanu, t.i., līgumam jābūt noslēgtam vismaz ar emisijas organizētāju un pievienotam projekta iesnieguma pielikumā.</w:t>
            </w:r>
          </w:p>
          <w:p w14:paraId="3ECEE538" w14:textId="77777777" w:rsidR="00934856" w:rsidRDefault="00934856" w:rsidP="00D27BD7">
            <w:pPr>
              <w:pStyle w:val="ListParagraph"/>
              <w:numPr>
                <w:ilvl w:val="0"/>
                <w:numId w:val="8"/>
              </w:numPr>
              <w:spacing w:line="276" w:lineRule="auto"/>
              <w:ind w:left="418" w:hanging="349"/>
              <w:jc w:val="both"/>
              <w:rPr>
                <w:rFonts w:ascii="Times New Roman" w:hAnsi="Times New Roman"/>
                <w:sz w:val="24"/>
                <w:szCs w:val="24"/>
                <w:lang w:eastAsia="lv-LV"/>
              </w:rPr>
            </w:pPr>
            <w:r w:rsidRPr="00934856">
              <w:rPr>
                <w:rFonts w:ascii="Times New Roman" w:hAnsi="Times New Roman"/>
                <w:sz w:val="24"/>
                <w:szCs w:val="24"/>
                <w:lang w:eastAsia="lv-LV"/>
              </w:rPr>
              <w:t xml:space="preserve">Projekta gatavības stadija ir uzskatāma par vidēju, ja </w:t>
            </w:r>
            <w:r w:rsidRPr="00F2370B">
              <w:rPr>
                <w:rFonts w:ascii="Times New Roman" w:hAnsi="Times New Roman"/>
                <w:b/>
                <w:bCs/>
                <w:sz w:val="24"/>
                <w:szCs w:val="24"/>
                <w:lang w:eastAsia="lv-LV"/>
              </w:rPr>
              <w:t>ir apzināti iespējamie pakalpojumu sniedzēji attiecībā uz visām projektā paredzētajām izmaksām</w:t>
            </w:r>
            <w:r w:rsidRPr="00934856">
              <w:rPr>
                <w:rFonts w:ascii="Times New Roman" w:hAnsi="Times New Roman"/>
                <w:sz w:val="24"/>
                <w:szCs w:val="24"/>
                <w:lang w:eastAsia="lv-LV"/>
              </w:rPr>
              <w:t xml:space="preserve">, tomēr nav veikts iepirkums, </w:t>
            </w:r>
            <w:r w:rsidRPr="00F2370B">
              <w:rPr>
                <w:rFonts w:ascii="Times New Roman" w:hAnsi="Times New Roman"/>
                <w:b/>
                <w:bCs/>
                <w:sz w:val="24"/>
                <w:szCs w:val="24"/>
                <w:lang w:eastAsia="lv-LV"/>
              </w:rPr>
              <w:t xml:space="preserve">un ir noslēgts sadarbības nodoma līgums ar potenciālo emisijas organizētāju vai ir </w:t>
            </w:r>
            <w:r w:rsidRPr="00F2370B">
              <w:rPr>
                <w:rFonts w:ascii="Times New Roman" w:hAnsi="Times New Roman"/>
                <w:b/>
                <w:bCs/>
                <w:sz w:val="24"/>
                <w:szCs w:val="24"/>
                <w:lang w:eastAsia="lv-LV"/>
              </w:rPr>
              <w:lastRenderedPageBreak/>
              <w:t>saņemts potenciālā emisijas organizētāja apliecinājums par gatavību uzsākt sadarbību, un līgums/apliecinājums ir pievienots projekta iesniegumam</w:t>
            </w:r>
            <w:r w:rsidRPr="00934856">
              <w:rPr>
                <w:rFonts w:ascii="Times New Roman" w:hAnsi="Times New Roman"/>
                <w:sz w:val="24"/>
                <w:szCs w:val="24"/>
                <w:lang w:eastAsia="lv-LV"/>
              </w:rPr>
              <w:t>. Lai projekta gatavības stadija tiktu novērtēta kā vidēja, projekta iesnieguma pielikumā pievieno detalizētu informāciju par potenciālo pakalpojumu sniedzēju  loku un izpētes metodēm, un to, kā noteiktas projektā plānotās izmaksas, paskaidrojot potenciālā pakalpojuma sniedzēja izvēles kritērijus un informāciju pamatojot, piemēram, ar saraksti, sākotnējiem piedāvājumiem u. tml. un sadarbības nodoma līgumu ar potenciālo emisijas organizētāju vai potenciālā emisijas organizētāja apliecinājums par gatavību uzsākt sadarbību.</w:t>
            </w:r>
          </w:p>
          <w:p w14:paraId="42E2649C" w14:textId="77777777" w:rsidR="00F2370B" w:rsidRDefault="00F2370B" w:rsidP="00D27BD7">
            <w:pPr>
              <w:pStyle w:val="ListParagraph"/>
              <w:numPr>
                <w:ilvl w:val="0"/>
                <w:numId w:val="8"/>
              </w:numPr>
              <w:spacing w:line="276" w:lineRule="auto"/>
              <w:ind w:left="418" w:hanging="349"/>
              <w:jc w:val="both"/>
              <w:rPr>
                <w:rFonts w:ascii="Times New Roman" w:hAnsi="Times New Roman"/>
                <w:sz w:val="24"/>
                <w:szCs w:val="24"/>
                <w:lang w:eastAsia="lv-LV"/>
              </w:rPr>
            </w:pPr>
            <w:r w:rsidRPr="00F2370B">
              <w:rPr>
                <w:rFonts w:ascii="Times New Roman" w:hAnsi="Times New Roman"/>
                <w:sz w:val="24"/>
                <w:szCs w:val="24"/>
                <w:lang w:eastAsia="lv-LV"/>
              </w:rPr>
              <w:t xml:space="preserve">Ja projekta iesniegumā ietvertā informācija neatspoguļo projekta atbilstību nevienai no iepriekšminētajām situācijām (t.i., </w:t>
            </w:r>
            <w:r w:rsidRPr="00F2370B">
              <w:rPr>
                <w:rFonts w:ascii="Times New Roman" w:hAnsi="Times New Roman"/>
                <w:b/>
                <w:bCs/>
                <w:sz w:val="24"/>
                <w:szCs w:val="24"/>
                <w:lang w:eastAsia="lv-LV"/>
              </w:rPr>
              <w:t>ja projekta iesniegumam nav pievienoti visi attiecīgu situāciju apliecinoši</w:t>
            </w:r>
            <w:r>
              <w:rPr>
                <w:rFonts w:ascii="Times New Roman" w:hAnsi="Times New Roman"/>
                <w:b/>
                <w:bCs/>
                <w:sz w:val="24"/>
                <w:szCs w:val="24"/>
                <w:lang w:eastAsia="lv-LV"/>
              </w:rPr>
              <w:t xml:space="preserve"> </w:t>
            </w:r>
            <w:r w:rsidRPr="00F2370B">
              <w:rPr>
                <w:rFonts w:ascii="Times New Roman" w:hAnsi="Times New Roman"/>
                <w:b/>
                <w:bCs/>
                <w:sz w:val="24"/>
                <w:szCs w:val="24"/>
                <w:lang w:eastAsia="lv-LV"/>
              </w:rPr>
              <w:t>dokumenti</w:t>
            </w:r>
            <w:r w:rsidRPr="00F2370B">
              <w:rPr>
                <w:rFonts w:ascii="Times New Roman" w:hAnsi="Times New Roman"/>
                <w:sz w:val="24"/>
                <w:szCs w:val="24"/>
                <w:lang w:eastAsia="lv-LV"/>
              </w:rPr>
              <w:t>), projekta gatavības pakāpe tiek vērtēta kā zema un projekta iesniegums tiek noraidīts.</w:t>
            </w:r>
          </w:p>
          <w:p w14:paraId="032E2671" w14:textId="64B2570D" w:rsidR="00F2370B" w:rsidRPr="00F2370B" w:rsidRDefault="00F2370B" w:rsidP="00D27BD7">
            <w:pPr>
              <w:spacing w:line="276" w:lineRule="auto"/>
              <w:ind w:left="69"/>
              <w:jc w:val="both"/>
              <w:rPr>
                <w:rFonts w:ascii="Times New Roman" w:hAnsi="Times New Roman"/>
                <w:sz w:val="24"/>
                <w:szCs w:val="24"/>
                <w:lang w:eastAsia="lv-LV"/>
              </w:rPr>
            </w:pPr>
            <w:r>
              <w:rPr>
                <w:rFonts w:ascii="Times New Roman" w:hAnsi="Times New Roman"/>
                <w:sz w:val="24"/>
                <w:szCs w:val="24"/>
                <w:lang w:eastAsia="lv-LV"/>
              </w:rPr>
              <w:t>G</w:t>
            </w:r>
            <w:r w:rsidRPr="00F2370B">
              <w:rPr>
                <w:rFonts w:ascii="Times New Roman" w:hAnsi="Times New Roman"/>
                <w:sz w:val="24"/>
                <w:szCs w:val="24"/>
                <w:lang w:eastAsia="lv-LV"/>
              </w:rPr>
              <w:t>adījumā, kad ir veikti visi projektā paredzētie iepirkumi, taču vēl nav noslēgts līgums ar izvēlēto emisijas organizētāju, ir jāiesniedz izvēlētā emisijas organizētāja apliecinājums vai ar to noslēgts sadarbības nodoma līgums, lai projekta gatavības stadija tiktu atzīta par vidēju un saņemtu kvalitātes kritērijā Nr.</w:t>
            </w:r>
            <w:r>
              <w:rPr>
                <w:rFonts w:ascii="Times New Roman" w:hAnsi="Times New Roman"/>
                <w:sz w:val="24"/>
                <w:szCs w:val="24"/>
                <w:lang w:eastAsia="lv-LV"/>
              </w:rPr>
              <w:t> </w:t>
            </w:r>
            <w:r w:rsidRPr="00F2370B">
              <w:rPr>
                <w:rFonts w:ascii="Times New Roman" w:hAnsi="Times New Roman"/>
                <w:sz w:val="24"/>
                <w:szCs w:val="24"/>
                <w:lang w:eastAsia="lv-LV"/>
              </w:rPr>
              <w:t>3.1.</w:t>
            </w:r>
            <w:r w:rsidR="002B658B">
              <w:rPr>
                <w:rFonts w:ascii="Times New Roman" w:hAnsi="Times New Roman"/>
                <w:sz w:val="24"/>
                <w:szCs w:val="24"/>
                <w:lang w:eastAsia="lv-LV"/>
              </w:rPr>
              <w:t xml:space="preserve"> </w:t>
            </w:r>
            <w:r w:rsidRPr="00F2370B">
              <w:rPr>
                <w:rFonts w:ascii="Times New Roman" w:hAnsi="Times New Roman"/>
                <w:sz w:val="24"/>
                <w:szCs w:val="24"/>
                <w:lang w:eastAsia="lv-LV"/>
              </w:rPr>
              <w:t>noteiktos minimālos 15</w:t>
            </w:r>
            <w:r>
              <w:rPr>
                <w:rFonts w:ascii="Times New Roman" w:hAnsi="Times New Roman"/>
                <w:sz w:val="24"/>
                <w:szCs w:val="24"/>
                <w:lang w:eastAsia="lv-LV"/>
              </w:rPr>
              <w:t> </w:t>
            </w:r>
            <w:r w:rsidRPr="00F2370B">
              <w:rPr>
                <w:rFonts w:ascii="Times New Roman" w:hAnsi="Times New Roman"/>
                <w:sz w:val="24"/>
                <w:szCs w:val="24"/>
                <w:lang w:eastAsia="lv-LV"/>
              </w:rPr>
              <w:t>punktu</w:t>
            </w:r>
            <w:r>
              <w:rPr>
                <w:rFonts w:ascii="Times New Roman" w:hAnsi="Times New Roman"/>
                <w:sz w:val="24"/>
                <w:szCs w:val="24"/>
                <w:lang w:eastAsia="lv-LV"/>
              </w:rPr>
              <w:t>s.</w:t>
            </w:r>
          </w:p>
        </w:tc>
      </w:tr>
      <w:tr w:rsidR="00934856" w:rsidRPr="00934856" w14:paraId="26436D26" w14:textId="77777777" w:rsidTr="00916DFD">
        <w:tc>
          <w:tcPr>
            <w:tcW w:w="9639" w:type="dxa"/>
            <w:shd w:val="clear" w:color="auto" w:fill="DBDBDB" w:themeFill="accent3" w:themeFillTint="66"/>
          </w:tcPr>
          <w:p w14:paraId="45F8EE0E" w14:textId="00593E0E" w:rsidR="00934856" w:rsidRPr="00934856" w:rsidRDefault="00934856" w:rsidP="00D27BD7">
            <w:pPr>
              <w:spacing w:after="160" w:line="276" w:lineRule="auto"/>
              <w:contextualSpacing/>
              <w:jc w:val="both"/>
              <w:rPr>
                <w:rFonts w:ascii="Times New Roman" w:hAnsi="Times New Roman"/>
                <w:sz w:val="24"/>
                <w:szCs w:val="24"/>
                <w:lang w:eastAsia="lv-LV"/>
              </w:rPr>
            </w:pPr>
            <w:r w:rsidRPr="00934856">
              <w:rPr>
                <w:rFonts w:ascii="Times New Roman" w:hAnsi="Times New Roman"/>
                <w:sz w:val="24"/>
                <w:szCs w:val="24"/>
                <w:lang w:eastAsia="lv-LV"/>
              </w:rPr>
              <w:lastRenderedPageBreak/>
              <w:t>2. jautājums:</w:t>
            </w:r>
          </w:p>
          <w:p w14:paraId="68808A38" w14:textId="06F9E044" w:rsidR="00934856" w:rsidRPr="00934856" w:rsidRDefault="00F2370B" w:rsidP="00D27BD7">
            <w:pPr>
              <w:spacing w:after="160" w:line="276" w:lineRule="auto"/>
              <w:contextualSpacing/>
              <w:jc w:val="both"/>
              <w:rPr>
                <w:rFonts w:ascii="Times New Roman" w:hAnsi="Times New Roman"/>
                <w:sz w:val="24"/>
                <w:szCs w:val="24"/>
                <w:lang w:eastAsia="lv-LV"/>
              </w:rPr>
            </w:pPr>
            <w:r>
              <w:rPr>
                <w:rFonts w:ascii="Times New Roman" w:hAnsi="Times New Roman"/>
                <w:sz w:val="24"/>
                <w:szCs w:val="24"/>
                <w:lang w:eastAsia="lv-LV"/>
              </w:rPr>
              <w:t>MK</w:t>
            </w:r>
            <w:r w:rsidRPr="00F2370B">
              <w:rPr>
                <w:rFonts w:ascii="Times New Roman" w:hAnsi="Times New Roman"/>
                <w:sz w:val="24"/>
                <w:szCs w:val="24"/>
                <w:lang w:eastAsia="lv-LV"/>
              </w:rPr>
              <w:t xml:space="preserve"> noteikumu Nr.</w:t>
            </w:r>
            <w:r>
              <w:rPr>
                <w:rFonts w:ascii="Times New Roman" w:hAnsi="Times New Roman"/>
                <w:sz w:val="24"/>
                <w:szCs w:val="24"/>
                <w:lang w:eastAsia="lv-LV"/>
              </w:rPr>
              <w:t> </w:t>
            </w:r>
            <w:r w:rsidRPr="00F2370B">
              <w:rPr>
                <w:rFonts w:ascii="Times New Roman" w:hAnsi="Times New Roman"/>
                <w:sz w:val="24"/>
                <w:szCs w:val="24"/>
                <w:lang w:eastAsia="lv-LV"/>
              </w:rPr>
              <w:t>13 22.</w:t>
            </w:r>
            <w:r>
              <w:rPr>
                <w:rFonts w:ascii="Times New Roman" w:hAnsi="Times New Roman"/>
                <w:sz w:val="24"/>
                <w:szCs w:val="24"/>
                <w:lang w:eastAsia="lv-LV"/>
              </w:rPr>
              <w:t> </w:t>
            </w:r>
            <w:r w:rsidRPr="00F2370B">
              <w:rPr>
                <w:rFonts w:ascii="Times New Roman" w:hAnsi="Times New Roman"/>
                <w:sz w:val="24"/>
                <w:szCs w:val="24"/>
                <w:lang w:eastAsia="lv-LV"/>
              </w:rPr>
              <w:t>punkts paredz projekta īstenošanai nepieciešamos iepirkumus veikt saskaņā ar normatīvajiem aktiem. Kādi normatīvie akti jāņem vērā, veicot iepirkumus?</w:t>
            </w:r>
          </w:p>
        </w:tc>
      </w:tr>
      <w:tr w:rsidR="00934856" w:rsidRPr="00934856" w14:paraId="63CF31A2" w14:textId="77777777" w:rsidTr="00916DFD">
        <w:tc>
          <w:tcPr>
            <w:tcW w:w="9639" w:type="dxa"/>
            <w:tcBorders>
              <w:bottom w:val="single" w:sz="4" w:space="0" w:color="auto"/>
            </w:tcBorders>
            <w:shd w:val="clear" w:color="auto" w:fill="FFFFFF" w:themeFill="background1"/>
          </w:tcPr>
          <w:p w14:paraId="03BF0660" w14:textId="7AAE3CAE" w:rsidR="00934856" w:rsidRPr="00934856" w:rsidRDefault="00934856" w:rsidP="00D27BD7">
            <w:pPr>
              <w:spacing w:after="160" w:line="276" w:lineRule="auto"/>
              <w:jc w:val="both"/>
              <w:rPr>
                <w:rFonts w:ascii="Times New Roman" w:hAnsi="Times New Roman"/>
                <w:sz w:val="24"/>
                <w:szCs w:val="24"/>
                <w:lang w:eastAsia="lv-LV"/>
              </w:rPr>
            </w:pPr>
            <w:r w:rsidRPr="00934856">
              <w:rPr>
                <w:rFonts w:ascii="Times New Roman" w:hAnsi="Times New Roman"/>
                <w:sz w:val="24"/>
                <w:szCs w:val="24"/>
                <w:lang w:eastAsia="lv-LV"/>
              </w:rPr>
              <w:t>Atbilde uz 2. jautājumu:</w:t>
            </w:r>
          </w:p>
          <w:p w14:paraId="6EC1894E" w14:textId="5DF5A41B" w:rsidR="00934856" w:rsidRPr="007F443D" w:rsidRDefault="007F443D" w:rsidP="00D27BD7">
            <w:pPr>
              <w:spacing w:after="160" w:line="276" w:lineRule="auto"/>
              <w:jc w:val="both"/>
              <w:rPr>
                <w:rFonts w:ascii="Times" w:hAnsi="Times"/>
                <w:sz w:val="24"/>
                <w:szCs w:val="24"/>
                <w:lang w:eastAsia="lv-LV"/>
              </w:rPr>
            </w:pPr>
            <w:r>
              <w:rPr>
                <w:rFonts w:ascii="Times New Roman" w:hAnsi="Times New Roman"/>
                <w:sz w:val="24"/>
                <w:szCs w:val="24"/>
                <w:lang w:eastAsia="lv-LV"/>
              </w:rPr>
              <w:t>Ņemot vērā, ka SAMP 3.1.1.3. ietvaros projekta iesniedzējs ir komersants, i</w:t>
            </w:r>
            <w:r w:rsidR="00F2370B" w:rsidRPr="00F2370B">
              <w:rPr>
                <w:rFonts w:ascii="Times New Roman" w:hAnsi="Times New Roman"/>
                <w:sz w:val="24"/>
                <w:szCs w:val="24"/>
                <w:lang w:eastAsia="lv-LV"/>
              </w:rPr>
              <w:t xml:space="preserve">epirkumi veicami saskaņā ar </w:t>
            </w:r>
            <w:hyperlink r:id="rId8" w:history="1">
              <w:r w:rsidR="00F2370B" w:rsidRPr="007F443D">
                <w:rPr>
                  <w:rStyle w:val="Hyperlink"/>
                  <w:rFonts w:ascii="Times" w:hAnsi="Times"/>
                  <w:sz w:val="24"/>
                  <w:szCs w:val="24"/>
                  <w:lang w:eastAsia="lv-LV"/>
                </w:rPr>
                <w:t>Ministru kabineta 2017.</w:t>
              </w:r>
              <w:r w:rsidRPr="007F443D">
                <w:rPr>
                  <w:rStyle w:val="Hyperlink"/>
                  <w:rFonts w:ascii="Times" w:hAnsi="Times"/>
                  <w:sz w:val="24"/>
                  <w:szCs w:val="24"/>
                  <w:lang w:eastAsia="lv-LV"/>
                </w:rPr>
                <w:t> </w:t>
              </w:r>
              <w:r w:rsidR="00F2370B" w:rsidRPr="007F443D">
                <w:rPr>
                  <w:rStyle w:val="Hyperlink"/>
                  <w:rFonts w:ascii="Times" w:hAnsi="Times"/>
                  <w:sz w:val="24"/>
                  <w:szCs w:val="24"/>
                  <w:lang w:eastAsia="lv-LV"/>
                </w:rPr>
                <w:t>gada 28.</w:t>
              </w:r>
              <w:r w:rsidRPr="007F443D">
                <w:rPr>
                  <w:rStyle w:val="Hyperlink"/>
                  <w:rFonts w:ascii="Times" w:hAnsi="Times"/>
                  <w:sz w:val="24"/>
                  <w:szCs w:val="24"/>
                  <w:lang w:eastAsia="lv-LV"/>
                </w:rPr>
                <w:t> </w:t>
              </w:r>
              <w:r w:rsidR="00F2370B" w:rsidRPr="007F443D">
                <w:rPr>
                  <w:rStyle w:val="Hyperlink"/>
                  <w:rFonts w:ascii="Times" w:hAnsi="Times"/>
                  <w:sz w:val="24"/>
                  <w:szCs w:val="24"/>
                  <w:lang w:eastAsia="lv-LV"/>
                </w:rPr>
                <w:t>februāra noteikumos Nr.</w:t>
              </w:r>
              <w:r w:rsidRPr="007F443D">
                <w:rPr>
                  <w:rStyle w:val="Hyperlink"/>
                  <w:rFonts w:ascii="Times" w:hAnsi="Times"/>
                  <w:sz w:val="24"/>
                  <w:szCs w:val="24"/>
                  <w:lang w:eastAsia="lv-LV"/>
                </w:rPr>
                <w:t> </w:t>
              </w:r>
              <w:r w:rsidR="00F2370B" w:rsidRPr="007F443D">
                <w:rPr>
                  <w:rStyle w:val="Hyperlink"/>
                  <w:rFonts w:ascii="Times" w:hAnsi="Times"/>
                  <w:sz w:val="24"/>
                  <w:szCs w:val="24"/>
                  <w:lang w:eastAsia="lv-LV"/>
                </w:rPr>
                <w:t>104</w:t>
              </w:r>
              <w:r w:rsidR="002B658B">
                <w:rPr>
                  <w:rStyle w:val="Hyperlink"/>
                  <w:rFonts w:ascii="Times" w:hAnsi="Times"/>
                  <w:sz w:val="24"/>
                  <w:szCs w:val="24"/>
                  <w:lang w:eastAsia="lv-LV"/>
                </w:rPr>
                <w:t> </w:t>
              </w:r>
              <w:r w:rsidR="00F2370B" w:rsidRPr="007F443D">
                <w:rPr>
                  <w:rStyle w:val="Hyperlink"/>
                  <w:rFonts w:ascii="Times" w:hAnsi="Times"/>
                  <w:sz w:val="24"/>
                  <w:szCs w:val="24"/>
                  <w:lang w:eastAsia="lv-LV"/>
                </w:rPr>
                <w:t>“Noteikumi par iepirkuma procedūru un tās piemērošanas kārtību pasūtītāja finansētiem projektiem”</w:t>
              </w:r>
            </w:hyperlink>
            <w:r w:rsidR="00F2370B" w:rsidRPr="007F443D">
              <w:rPr>
                <w:rFonts w:ascii="Times" w:hAnsi="Times"/>
                <w:sz w:val="24"/>
                <w:szCs w:val="24"/>
                <w:lang w:eastAsia="lv-LV"/>
              </w:rPr>
              <w:t xml:space="preserve"> (turpmāk</w:t>
            </w:r>
            <w:r w:rsidRPr="007F443D">
              <w:rPr>
                <w:rFonts w:ascii="Times" w:hAnsi="Times"/>
                <w:sz w:val="24"/>
                <w:szCs w:val="24"/>
                <w:lang w:eastAsia="lv-LV"/>
              </w:rPr>
              <w:t> </w:t>
            </w:r>
            <w:r w:rsidR="00F2370B" w:rsidRPr="007F443D">
              <w:rPr>
                <w:rFonts w:ascii="Times" w:hAnsi="Times"/>
                <w:sz w:val="24"/>
                <w:szCs w:val="24"/>
                <w:lang w:eastAsia="lv-LV"/>
              </w:rPr>
              <w:t>– MK</w:t>
            </w:r>
            <w:r w:rsidR="00A350DB">
              <w:rPr>
                <w:rFonts w:ascii="Times" w:hAnsi="Times"/>
                <w:sz w:val="24"/>
                <w:szCs w:val="24"/>
                <w:lang w:eastAsia="lv-LV"/>
              </w:rPr>
              <w:t> </w:t>
            </w:r>
            <w:r w:rsidR="00F2370B" w:rsidRPr="007F443D">
              <w:rPr>
                <w:rFonts w:ascii="Times" w:hAnsi="Times"/>
                <w:sz w:val="24"/>
                <w:szCs w:val="24"/>
                <w:lang w:eastAsia="lv-LV"/>
              </w:rPr>
              <w:t>noteikumi Nr.</w:t>
            </w:r>
            <w:r w:rsidRPr="007F443D">
              <w:rPr>
                <w:rFonts w:ascii="Times" w:hAnsi="Times"/>
                <w:sz w:val="24"/>
                <w:szCs w:val="24"/>
                <w:lang w:eastAsia="lv-LV"/>
              </w:rPr>
              <w:t> </w:t>
            </w:r>
            <w:r w:rsidR="00F2370B" w:rsidRPr="007F443D">
              <w:rPr>
                <w:rFonts w:ascii="Times" w:hAnsi="Times"/>
                <w:sz w:val="24"/>
                <w:szCs w:val="24"/>
                <w:lang w:eastAsia="lv-LV"/>
              </w:rPr>
              <w:t>104) noteikto kārtību</w:t>
            </w:r>
            <w:r w:rsidRPr="007F443D">
              <w:rPr>
                <w:rFonts w:ascii="Times" w:hAnsi="Times"/>
                <w:sz w:val="24"/>
                <w:szCs w:val="24"/>
                <w:lang w:eastAsia="lv-LV"/>
              </w:rPr>
              <w:t>.</w:t>
            </w:r>
          </w:p>
          <w:p w14:paraId="20EC66C1" w14:textId="7001B269" w:rsidR="007F443D" w:rsidRPr="007F443D" w:rsidRDefault="007F443D" w:rsidP="00D27BD7">
            <w:pPr>
              <w:spacing w:line="276" w:lineRule="auto"/>
              <w:jc w:val="both"/>
              <w:rPr>
                <w:rFonts w:ascii="Times" w:hAnsi="Times"/>
                <w:sz w:val="24"/>
                <w:szCs w:val="24"/>
              </w:rPr>
            </w:pPr>
            <w:r w:rsidRPr="007F443D">
              <w:rPr>
                <w:rFonts w:ascii="Times" w:hAnsi="Times"/>
                <w:sz w:val="24"/>
                <w:szCs w:val="24"/>
              </w:rPr>
              <w:t>MK</w:t>
            </w:r>
            <w:r w:rsidR="00A350DB">
              <w:rPr>
                <w:rFonts w:ascii="Times" w:hAnsi="Times"/>
                <w:sz w:val="24"/>
                <w:szCs w:val="24"/>
              </w:rPr>
              <w:t> </w:t>
            </w:r>
            <w:r w:rsidRPr="007F443D">
              <w:rPr>
                <w:rFonts w:ascii="Times" w:hAnsi="Times"/>
                <w:sz w:val="24"/>
                <w:szCs w:val="24"/>
              </w:rPr>
              <w:t>noteikumi Nr. 104 pieļauj IV</w:t>
            </w:r>
            <w:r>
              <w:rPr>
                <w:rFonts w:ascii="Times" w:hAnsi="Times"/>
                <w:sz w:val="24"/>
                <w:szCs w:val="24"/>
              </w:rPr>
              <w:t> </w:t>
            </w:r>
            <w:r w:rsidRPr="007F443D">
              <w:rPr>
                <w:rFonts w:ascii="Times" w:hAnsi="Times"/>
                <w:sz w:val="24"/>
                <w:szCs w:val="24"/>
              </w:rPr>
              <w:t>nodaļā noteiktās procedūras neievērošanu pakalpojumu iepirkumos, kuru paredzamā līgumcena nepārsniedz 70</w:t>
            </w:r>
            <w:r>
              <w:rPr>
                <w:rFonts w:ascii="Times" w:hAnsi="Times"/>
                <w:sz w:val="24"/>
                <w:szCs w:val="24"/>
              </w:rPr>
              <w:t> </w:t>
            </w:r>
            <w:r w:rsidRPr="007F443D">
              <w:rPr>
                <w:rFonts w:ascii="Times" w:hAnsi="Times"/>
                <w:sz w:val="24"/>
                <w:szCs w:val="24"/>
              </w:rPr>
              <w:t>000</w:t>
            </w:r>
            <w:r>
              <w:rPr>
                <w:rFonts w:ascii="Times" w:hAnsi="Times"/>
                <w:sz w:val="24"/>
                <w:szCs w:val="24"/>
              </w:rPr>
              <w:t> </w:t>
            </w:r>
            <w:r w:rsidRPr="007F443D">
              <w:rPr>
                <w:rFonts w:ascii="Times" w:hAnsi="Times"/>
                <w:i/>
                <w:iCs/>
                <w:sz w:val="24"/>
                <w:szCs w:val="24"/>
              </w:rPr>
              <w:t xml:space="preserve">euro </w:t>
            </w:r>
            <w:r w:rsidRPr="007F443D">
              <w:rPr>
                <w:rFonts w:ascii="Times" w:hAnsi="Times"/>
                <w:sz w:val="24"/>
                <w:szCs w:val="24"/>
              </w:rPr>
              <w:t xml:space="preserve">(pārējo nodaļu nosacījumi jāievēro jebkurā gadījumā), taču vēršam uzmanību, ka, lai nodrošinātu ERAF finansējuma izlietojuma atbilstību </w:t>
            </w:r>
            <w:hyperlink r:id="rId9" w:anchor="d1e4295-1-1" w:history="1">
              <w:r w:rsidRPr="007F443D">
                <w:rPr>
                  <w:rStyle w:val="Hyperlink"/>
                  <w:rFonts w:ascii="Times" w:hAnsi="Times"/>
                  <w:sz w:val="24"/>
                  <w:szCs w:val="24"/>
                </w:rPr>
                <w:t>Regulas Nr. 2018/1046 33. pantā</w:t>
              </w:r>
            </w:hyperlink>
            <w:r w:rsidRPr="007F443D">
              <w:rPr>
                <w:rFonts w:ascii="Times" w:hAnsi="Times"/>
                <w:sz w:val="24"/>
                <w:szCs w:val="24"/>
              </w:rPr>
              <w:t xml:space="preserve"> noteiktajiem pareizas finanšu pārvaldības principiem un nodrošinātu tā pārbaudāmību, projekta īstenošanas laikā neatkarīgi no iepirkuma līgumcenas ir jāveic iepirkuma procesa dokumentēšana, sagatavojot pārskatu, kas ietver vismaz šādu informāciju:</w:t>
            </w:r>
          </w:p>
          <w:p w14:paraId="282ECEC9" w14:textId="77777777" w:rsidR="007F443D" w:rsidRPr="007F443D" w:rsidRDefault="007F443D" w:rsidP="00D27BD7">
            <w:pPr>
              <w:pStyle w:val="ListParagraph"/>
              <w:numPr>
                <w:ilvl w:val="0"/>
                <w:numId w:val="9"/>
              </w:numPr>
              <w:spacing w:after="0" w:line="276" w:lineRule="auto"/>
              <w:contextualSpacing w:val="0"/>
              <w:jc w:val="both"/>
              <w:rPr>
                <w:rFonts w:ascii="Times" w:hAnsi="Times"/>
                <w:sz w:val="24"/>
                <w:szCs w:val="24"/>
              </w:rPr>
            </w:pPr>
            <w:r w:rsidRPr="007F443D">
              <w:rPr>
                <w:rFonts w:ascii="Times" w:hAnsi="Times"/>
                <w:sz w:val="24"/>
                <w:szCs w:val="24"/>
              </w:rPr>
              <w:t>informācija par izmantoto iepirkuma metodi/procedūru;</w:t>
            </w:r>
          </w:p>
          <w:p w14:paraId="26BFB23D" w14:textId="77777777" w:rsidR="007F443D" w:rsidRPr="007F443D" w:rsidRDefault="007F443D" w:rsidP="00D27BD7">
            <w:pPr>
              <w:pStyle w:val="ListParagraph"/>
              <w:numPr>
                <w:ilvl w:val="0"/>
                <w:numId w:val="9"/>
              </w:numPr>
              <w:spacing w:after="0" w:line="276" w:lineRule="auto"/>
              <w:contextualSpacing w:val="0"/>
              <w:jc w:val="both"/>
              <w:rPr>
                <w:rFonts w:ascii="Times" w:hAnsi="Times"/>
                <w:sz w:val="24"/>
                <w:szCs w:val="24"/>
              </w:rPr>
            </w:pPr>
            <w:r w:rsidRPr="007F443D">
              <w:rPr>
                <w:rFonts w:ascii="Times" w:hAnsi="Times"/>
                <w:sz w:val="24"/>
                <w:szCs w:val="24"/>
              </w:rPr>
              <w:t>informācija par saņemtajiem piedāvājumiem, t. sk. arī vispārēja informācija par pretendentiem (pārstāvētā darbības nozare, kontaktinformācija, u. tml.);</w:t>
            </w:r>
          </w:p>
          <w:p w14:paraId="23259100" w14:textId="77777777" w:rsidR="007F443D" w:rsidRPr="007F443D" w:rsidRDefault="007F443D" w:rsidP="00D27BD7">
            <w:pPr>
              <w:pStyle w:val="ListParagraph"/>
              <w:numPr>
                <w:ilvl w:val="0"/>
                <w:numId w:val="9"/>
              </w:numPr>
              <w:spacing w:after="0" w:line="276" w:lineRule="auto"/>
              <w:contextualSpacing w:val="0"/>
              <w:jc w:val="both"/>
              <w:rPr>
                <w:rFonts w:ascii="Times" w:hAnsi="Times"/>
                <w:sz w:val="24"/>
                <w:szCs w:val="24"/>
              </w:rPr>
            </w:pPr>
            <w:r w:rsidRPr="007F443D">
              <w:rPr>
                <w:rFonts w:ascii="Times" w:hAnsi="Times"/>
                <w:sz w:val="24"/>
                <w:szCs w:val="24"/>
              </w:rPr>
              <w:t>piedāvājumu salīdzinājums, kurā norādītas izraudzītā piedāvājuma priekšrocības attiecībā pret katru iesniegto piedāvājumu;</w:t>
            </w:r>
          </w:p>
          <w:p w14:paraId="7338615F" w14:textId="77777777" w:rsidR="007F443D" w:rsidRPr="007F443D" w:rsidRDefault="007F443D" w:rsidP="00D27BD7">
            <w:pPr>
              <w:pStyle w:val="ListParagraph"/>
              <w:numPr>
                <w:ilvl w:val="0"/>
                <w:numId w:val="9"/>
              </w:numPr>
              <w:spacing w:line="276" w:lineRule="auto"/>
              <w:contextualSpacing w:val="0"/>
              <w:jc w:val="both"/>
              <w:rPr>
                <w:rFonts w:ascii="Times" w:hAnsi="Times"/>
                <w:sz w:val="24"/>
                <w:szCs w:val="24"/>
              </w:rPr>
            </w:pPr>
            <w:r w:rsidRPr="007F443D">
              <w:rPr>
                <w:rFonts w:ascii="Times" w:hAnsi="Times"/>
                <w:sz w:val="24"/>
                <w:szCs w:val="24"/>
              </w:rPr>
              <w:t>līgumslēdzēja izvēles kritēriju paskaidrojums.</w:t>
            </w:r>
          </w:p>
          <w:p w14:paraId="6EC3ACF5" w14:textId="33B94916" w:rsidR="007F443D" w:rsidRPr="00934856" w:rsidRDefault="007F443D" w:rsidP="00D27BD7">
            <w:pPr>
              <w:spacing w:after="160" w:line="276" w:lineRule="auto"/>
              <w:jc w:val="both"/>
              <w:rPr>
                <w:rFonts w:ascii="Calibri" w:hAnsi="Calibri" w:cs="Calibri"/>
                <w:sz w:val="24"/>
                <w:szCs w:val="24"/>
                <w:lang w:eastAsia="lv-LV"/>
              </w:rPr>
            </w:pPr>
            <w:r w:rsidRPr="007F443D">
              <w:rPr>
                <w:rFonts w:ascii="Times" w:hAnsi="Times"/>
                <w:sz w:val="24"/>
                <w:szCs w:val="24"/>
              </w:rPr>
              <w:t>Lai nodrošinātu dokumentācijas atbilstību un caurskatāmību, aicinām iepirkumu veikšanas laikā ievērot MK</w:t>
            </w:r>
            <w:r w:rsidR="00A350DB">
              <w:rPr>
                <w:rFonts w:ascii="Times" w:hAnsi="Times"/>
                <w:sz w:val="24"/>
                <w:szCs w:val="24"/>
              </w:rPr>
              <w:t> n</w:t>
            </w:r>
            <w:r w:rsidRPr="007F443D">
              <w:rPr>
                <w:rFonts w:ascii="Times" w:hAnsi="Times"/>
                <w:sz w:val="24"/>
                <w:szCs w:val="24"/>
              </w:rPr>
              <w:t>oteikumu Nr. 104 I</w:t>
            </w:r>
            <w:r w:rsidR="00F67938">
              <w:rPr>
                <w:rFonts w:ascii="Times" w:hAnsi="Times"/>
                <w:sz w:val="24"/>
                <w:szCs w:val="24"/>
              </w:rPr>
              <w:t>V </w:t>
            </w:r>
            <w:r w:rsidRPr="007F443D">
              <w:rPr>
                <w:rFonts w:ascii="Times" w:hAnsi="Times"/>
                <w:sz w:val="24"/>
                <w:szCs w:val="24"/>
              </w:rPr>
              <w:t>nodaļā minētos principus un nosacījumus neatkarīgi no iepirkuma līgumcenas</w:t>
            </w:r>
            <w:r>
              <w:rPr>
                <w:rFonts w:ascii="Times" w:hAnsi="Times"/>
                <w:sz w:val="24"/>
                <w:szCs w:val="24"/>
              </w:rPr>
              <w:t>.</w:t>
            </w:r>
          </w:p>
        </w:tc>
      </w:tr>
      <w:tr w:rsidR="00243A81" w:rsidRPr="00934856" w14:paraId="7C2ED879" w14:textId="77777777" w:rsidTr="00916DFD">
        <w:tc>
          <w:tcPr>
            <w:tcW w:w="9639" w:type="dxa"/>
            <w:shd w:val="clear" w:color="auto" w:fill="DBDBDB" w:themeFill="accent3" w:themeFillTint="66"/>
          </w:tcPr>
          <w:p w14:paraId="0AB8A427" w14:textId="4CCCA95E" w:rsidR="00243A81" w:rsidRDefault="00243A81" w:rsidP="00D27BD7">
            <w:pPr>
              <w:spacing w:line="276" w:lineRule="auto"/>
              <w:ind w:left="-7"/>
              <w:jc w:val="both"/>
              <w:rPr>
                <w:rFonts w:ascii="Times" w:hAnsi="Times"/>
                <w:sz w:val="24"/>
                <w:szCs w:val="24"/>
              </w:rPr>
            </w:pPr>
            <w:r>
              <w:rPr>
                <w:rFonts w:ascii="Times" w:hAnsi="Times"/>
                <w:sz w:val="24"/>
                <w:szCs w:val="24"/>
              </w:rPr>
              <w:t>3. jautājums:</w:t>
            </w:r>
          </w:p>
          <w:p w14:paraId="52B81C9F" w14:textId="558ACCD8" w:rsidR="00243A81" w:rsidRPr="00243A81" w:rsidRDefault="00243A81" w:rsidP="00D27BD7">
            <w:pPr>
              <w:spacing w:line="276" w:lineRule="auto"/>
              <w:ind w:left="-7"/>
              <w:jc w:val="both"/>
              <w:rPr>
                <w:rFonts w:ascii="Times" w:hAnsi="Times"/>
                <w:sz w:val="24"/>
                <w:szCs w:val="24"/>
              </w:rPr>
            </w:pPr>
            <w:r>
              <w:rPr>
                <w:rFonts w:ascii="Times" w:hAnsi="Times"/>
                <w:sz w:val="24"/>
                <w:szCs w:val="24"/>
              </w:rPr>
              <w:lastRenderedPageBreak/>
              <w:t xml:space="preserve">Pirmās projektu iesniegumu atlases </w:t>
            </w:r>
            <w:r w:rsidRPr="00243A81">
              <w:rPr>
                <w:rFonts w:ascii="Times" w:hAnsi="Times"/>
                <w:sz w:val="24"/>
                <w:szCs w:val="24"/>
              </w:rPr>
              <w:t>kārtas ietvaros</w:t>
            </w:r>
            <w:r>
              <w:rPr>
                <w:rFonts w:ascii="Times" w:hAnsi="Times"/>
                <w:sz w:val="24"/>
                <w:szCs w:val="24"/>
              </w:rPr>
              <w:t xml:space="preserve"> </w:t>
            </w:r>
            <w:r w:rsidRPr="00243A81">
              <w:rPr>
                <w:rFonts w:ascii="Times" w:hAnsi="Times"/>
                <w:sz w:val="24"/>
                <w:szCs w:val="24"/>
              </w:rPr>
              <w:t>veicām cenu aptaujas 4</w:t>
            </w:r>
            <w:r>
              <w:rPr>
                <w:rFonts w:ascii="Times" w:hAnsi="Times"/>
                <w:sz w:val="24"/>
                <w:szCs w:val="24"/>
              </w:rPr>
              <w:t> </w:t>
            </w:r>
            <w:r w:rsidRPr="00243A81">
              <w:rPr>
                <w:rFonts w:ascii="Times" w:hAnsi="Times"/>
                <w:sz w:val="24"/>
                <w:szCs w:val="24"/>
              </w:rPr>
              <w:t>pakalpojumiem (iepirkuma paredzamā un reālā summa katrā no pozīcijām bija mazāka par EUR</w:t>
            </w:r>
            <w:r w:rsidR="00D27BD7">
              <w:rPr>
                <w:rFonts w:ascii="Times" w:hAnsi="Times"/>
                <w:sz w:val="24"/>
                <w:szCs w:val="24"/>
              </w:rPr>
              <w:t> </w:t>
            </w:r>
            <w:r w:rsidRPr="00243A81">
              <w:rPr>
                <w:rFonts w:ascii="Times" w:hAnsi="Times"/>
                <w:sz w:val="24"/>
                <w:szCs w:val="24"/>
              </w:rPr>
              <w:t xml:space="preserve">70 000), vai mēs šīs cenu aptaujas varam izmantot  </w:t>
            </w:r>
            <w:r>
              <w:rPr>
                <w:rFonts w:ascii="Times" w:hAnsi="Times"/>
                <w:sz w:val="24"/>
                <w:szCs w:val="24"/>
              </w:rPr>
              <w:t>otrās</w:t>
            </w:r>
            <w:r w:rsidRPr="00243A81">
              <w:rPr>
                <w:rFonts w:ascii="Times" w:hAnsi="Times"/>
                <w:sz w:val="24"/>
                <w:szCs w:val="24"/>
              </w:rPr>
              <w:t> kārtas ietvaros</w:t>
            </w:r>
            <w:r>
              <w:rPr>
                <w:rFonts w:ascii="Times" w:hAnsi="Times"/>
                <w:sz w:val="24"/>
                <w:szCs w:val="24"/>
              </w:rPr>
              <w:t>,</w:t>
            </w:r>
            <w:r w:rsidRPr="00243A81">
              <w:rPr>
                <w:rFonts w:ascii="Times" w:hAnsi="Times"/>
                <w:sz w:val="24"/>
                <w:szCs w:val="24"/>
              </w:rPr>
              <w:t xml:space="preserve"> un mums nav nepieciešams veikt tās atkārtoti? Kā arī, ja mēs varam izmantot šīs cenu aptaujas </w:t>
            </w:r>
            <w:r>
              <w:rPr>
                <w:rFonts w:ascii="Times" w:hAnsi="Times"/>
                <w:sz w:val="24"/>
                <w:szCs w:val="24"/>
              </w:rPr>
              <w:t xml:space="preserve">otrās </w:t>
            </w:r>
            <w:r w:rsidRPr="00243A81">
              <w:rPr>
                <w:rFonts w:ascii="Times" w:hAnsi="Times"/>
                <w:sz w:val="24"/>
                <w:szCs w:val="24"/>
              </w:rPr>
              <w:t>kārtas ietvaros, vai mēs varam daļai no plānotajiem pakalpojumiem cenu aptaujas veikt atkārtoti, bet otrai daļai izmantot jau</w:t>
            </w:r>
            <w:r w:rsidR="00D27BD7">
              <w:rPr>
                <w:rFonts w:ascii="Times" w:hAnsi="Times"/>
                <w:sz w:val="24"/>
                <w:szCs w:val="24"/>
              </w:rPr>
              <w:t xml:space="preserve"> </w:t>
            </w:r>
            <w:r>
              <w:rPr>
                <w:rFonts w:ascii="Times" w:hAnsi="Times"/>
                <w:sz w:val="24"/>
                <w:szCs w:val="24"/>
              </w:rPr>
              <w:t xml:space="preserve">pirmās </w:t>
            </w:r>
            <w:r w:rsidRPr="00243A81">
              <w:rPr>
                <w:rFonts w:ascii="Times" w:hAnsi="Times"/>
                <w:sz w:val="24"/>
                <w:szCs w:val="24"/>
              </w:rPr>
              <w:t>kārtas ietvaros veiktās cenu aptaujas?  </w:t>
            </w:r>
          </w:p>
        </w:tc>
      </w:tr>
      <w:tr w:rsidR="00243A81" w:rsidRPr="00934856" w14:paraId="3D8FF870" w14:textId="77777777" w:rsidTr="00916DFD">
        <w:tc>
          <w:tcPr>
            <w:tcW w:w="9639" w:type="dxa"/>
            <w:tcBorders>
              <w:bottom w:val="single" w:sz="4" w:space="0" w:color="auto"/>
            </w:tcBorders>
            <w:shd w:val="clear" w:color="auto" w:fill="FFFFFF" w:themeFill="background1"/>
          </w:tcPr>
          <w:p w14:paraId="35162143" w14:textId="20530B40" w:rsidR="00243A81" w:rsidRPr="00D27BD7" w:rsidRDefault="00243A81" w:rsidP="00D27BD7">
            <w:pPr>
              <w:spacing w:after="160" w:line="276" w:lineRule="auto"/>
              <w:jc w:val="both"/>
              <w:rPr>
                <w:rFonts w:ascii="Times" w:hAnsi="Times"/>
                <w:sz w:val="24"/>
                <w:szCs w:val="24"/>
                <w:lang w:eastAsia="lv-LV"/>
              </w:rPr>
            </w:pPr>
            <w:r w:rsidRPr="00D27BD7">
              <w:rPr>
                <w:rFonts w:ascii="Times" w:hAnsi="Times"/>
                <w:sz w:val="24"/>
                <w:szCs w:val="24"/>
                <w:lang w:eastAsia="lv-LV"/>
              </w:rPr>
              <w:lastRenderedPageBreak/>
              <w:t>Atbilde uz 3. jautājumu:</w:t>
            </w:r>
          </w:p>
          <w:p w14:paraId="71C70DFE" w14:textId="3050B1DB" w:rsidR="00243A81" w:rsidRPr="00D27BD7" w:rsidRDefault="00243A81" w:rsidP="00D27BD7">
            <w:pPr>
              <w:spacing w:after="160" w:line="276" w:lineRule="auto"/>
              <w:jc w:val="both"/>
              <w:rPr>
                <w:rFonts w:ascii="Times" w:hAnsi="Times"/>
                <w:sz w:val="24"/>
                <w:szCs w:val="24"/>
                <w:lang w:eastAsia="lv-LV"/>
              </w:rPr>
            </w:pPr>
            <w:r w:rsidRPr="00D27BD7">
              <w:rPr>
                <w:rFonts w:ascii="Times" w:hAnsi="Times"/>
                <w:sz w:val="24"/>
                <w:szCs w:val="24"/>
                <w:lang w:eastAsia="lv-LV"/>
              </w:rPr>
              <w:t xml:space="preserve">Tā kā pirmās un otrās projektu iesniegumu atlases kārtas ietvaros atbalstāmās darbības un attiecināmās izmaksas neatšķiras (tās noteiktas </w:t>
            </w:r>
            <w:hyperlink r:id="rId10" w:history="1">
              <w:r w:rsidRPr="00D27BD7">
                <w:rPr>
                  <w:rFonts w:ascii="Times" w:hAnsi="Times"/>
                </w:rPr>
                <w:t xml:space="preserve">MK noteikumu </w:t>
              </w:r>
            </w:hyperlink>
            <w:r w:rsidRPr="00D27BD7">
              <w:rPr>
                <w:rFonts w:ascii="Times" w:hAnsi="Times"/>
                <w:sz w:val="24"/>
                <w:szCs w:val="24"/>
                <w:lang w:eastAsia="lv-LV"/>
              </w:rPr>
              <w:t>16.–17. punktā), pirmās kārtas ietvaros veiktās cenu aptaujas dokumentus var iesniegt kā projekta gatavību apliecinošus dokumentus arī otrajā projektu iesniegumu atlases kārtā, ja vien kāda no dokumentācijas daļām nesatur specifisku norādi uz piedāvājuma spēkā esamības termiņu, kas ir beidzies, nav mainīts plānoto pakalpojumu saturs u.</w:t>
            </w:r>
            <w:r w:rsidRPr="00D27BD7">
              <w:rPr>
                <w:rFonts w:ascii="Times" w:hAnsi="Times" w:hint="eastAsia"/>
                <w:sz w:val="24"/>
                <w:szCs w:val="24"/>
                <w:lang w:eastAsia="lv-LV"/>
              </w:rPr>
              <w:t> </w:t>
            </w:r>
            <w:r w:rsidRPr="00D27BD7">
              <w:rPr>
                <w:rFonts w:ascii="Times" w:hAnsi="Times"/>
                <w:sz w:val="24"/>
                <w:szCs w:val="24"/>
                <w:lang w:eastAsia="lv-LV"/>
              </w:rPr>
              <w:t xml:space="preserve">tml. Tāpat ir iespējams iesniegt daļu no pirmās kārtas cenu aptaujas dokumentācijas, bet daļai aktivitāšu šo cenu aptauju (tirgus izpēti) veikt atkārtoti. </w:t>
            </w:r>
          </w:p>
          <w:p w14:paraId="5309E481" w14:textId="5C27F579" w:rsidR="00243A81" w:rsidRPr="00D27BD7" w:rsidRDefault="00243A81" w:rsidP="00D27BD7">
            <w:pPr>
              <w:spacing w:after="160" w:line="276" w:lineRule="auto"/>
              <w:jc w:val="both"/>
              <w:rPr>
                <w:rFonts w:ascii="Times" w:hAnsi="Times" w:cs="Times"/>
                <w:iCs/>
                <w:color w:val="222222"/>
                <w:sz w:val="24"/>
                <w:szCs w:val="24"/>
                <w:lang w:eastAsia="lv-LV"/>
              </w:rPr>
            </w:pPr>
            <w:r w:rsidRPr="00D27BD7">
              <w:rPr>
                <w:rFonts w:ascii="Times" w:hAnsi="Times" w:cs="Times"/>
                <w:iCs/>
                <w:color w:val="222222"/>
                <w:sz w:val="24"/>
                <w:szCs w:val="24"/>
                <w:lang w:eastAsia="lv-LV"/>
              </w:rPr>
              <w:t>Vienlaikus aicin</w:t>
            </w:r>
            <w:r w:rsidRPr="00D27BD7">
              <w:rPr>
                <w:rFonts w:ascii="Times Baltic" w:hAnsi="Times Baltic"/>
                <w:iCs/>
                <w:color w:val="222222"/>
                <w:sz w:val="24"/>
                <w:szCs w:val="24"/>
                <w:lang w:eastAsia="lv-LV"/>
              </w:rPr>
              <w:t>ām ņemt</w:t>
            </w:r>
            <w:r w:rsidRPr="00D27BD7">
              <w:rPr>
                <w:rFonts w:ascii="Times" w:hAnsi="Times" w:cs="Times"/>
                <w:iCs/>
                <w:color w:val="222222"/>
                <w:sz w:val="24"/>
                <w:szCs w:val="24"/>
                <w:lang w:eastAsia="lv-LV"/>
              </w:rPr>
              <w:t xml:space="preserve"> v</w:t>
            </w:r>
            <w:r w:rsidRPr="00D27BD7">
              <w:rPr>
                <w:rFonts w:ascii="Times Baltic" w:hAnsi="Times Baltic"/>
                <w:iCs/>
                <w:color w:val="222222"/>
                <w:sz w:val="24"/>
                <w:szCs w:val="24"/>
                <w:lang w:eastAsia="lv-LV"/>
              </w:rPr>
              <w:t>ērā</w:t>
            </w:r>
            <w:r w:rsidRPr="00D27BD7">
              <w:rPr>
                <w:rFonts w:ascii="Times" w:hAnsi="Times" w:cs="Times"/>
                <w:iCs/>
                <w:color w:val="222222"/>
                <w:sz w:val="24"/>
                <w:szCs w:val="24"/>
                <w:lang w:eastAsia="lv-LV"/>
              </w:rPr>
              <w:t xml:space="preserve">, ka </w:t>
            </w:r>
            <w:r w:rsidRPr="00D27BD7">
              <w:rPr>
                <w:rFonts w:ascii="Times Baltic" w:hAnsi="Times Baltic"/>
                <w:iCs/>
                <w:color w:val="222222"/>
                <w:sz w:val="24"/>
                <w:szCs w:val="24"/>
                <w:lang w:eastAsia="lv-LV"/>
              </w:rPr>
              <w:t>kvalitātes kritērijā Nr.</w:t>
            </w:r>
            <w:r w:rsidRPr="00D27BD7">
              <w:rPr>
                <w:rFonts w:ascii="Times" w:hAnsi="Times" w:cs="Times"/>
                <w:iCs/>
                <w:color w:val="222222"/>
                <w:sz w:val="24"/>
                <w:szCs w:val="24"/>
                <w:lang w:eastAsia="lv-LV"/>
              </w:rPr>
              <w:t> 3.1. j</w:t>
            </w:r>
            <w:r w:rsidRPr="00D27BD7">
              <w:rPr>
                <w:rFonts w:ascii="Times Baltic" w:hAnsi="Times Baltic"/>
                <w:iCs/>
                <w:color w:val="222222"/>
                <w:sz w:val="24"/>
                <w:szCs w:val="24"/>
                <w:lang w:eastAsia="lv-LV"/>
              </w:rPr>
              <w:t>āsaņem</w:t>
            </w:r>
            <w:r w:rsidRPr="00D27BD7">
              <w:rPr>
                <w:rFonts w:ascii="Times" w:hAnsi="Times" w:cs="Times"/>
                <w:iCs/>
                <w:color w:val="222222"/>
                <w:sz w:val="24"/>
                <w:szCs w:val="24"/>
                <w:lang w:eastAsia="lv-LV"/>
              </w:rPr>
              <w:t xml:space="preserve"> </w:t>
            </w:r>
            <w:r w:rsidRPr="00D27BD7">
              <w:rPr>
                <w:rFonts w:ascii="Times" w:hAnsi="Times" w:cs="Times"/>
                <w:b/>
                <w:bCs/>
                <w:iCs/>
                <w:color w:val="222222"/>
                <w:sz w:val="24"/>
                <w:szCs w:val="24"/>
                <w:lang w:eastAsia="lv-LV"/>
              </w:rPr>
              <w:t>vismaz 15 punkti</w:t>
            </w:r>
            <w:r w:rsidRPr="00D27BD7">
              <w:rPr>
                <w:rFonts w:ascii="Times" w:hAnsi="Times" w:cs="Times"/>
                <w:iCs/>
                <w:color w:val="222222"/>
                <w:sz w:val="24"/>
                <w:szCs w:val="24"/>
                <w:lang w:eastAsia="lv-LV"/>
              </w:rPr>
              <w:t>, lai projekta iesniegums tiktu virz</w:t>
            </w:r>
            <w:r w:rsidRPr="00D27BD7">
              <w:rPr>
                <w:rFonts w:ascii="Times Baltic" w:hAnsi="Times Baltic"/>
                <w:iCs/>
                <w:color w:val="222222"/>
                <w:sz w:val="24"/>
                <w:szCs w:val="24"/>
                <w:lang w:eastAsia="lv-LV"/>
              </w:rPr>
              <w:t>īts tālākai vērtē</w:t>
            </w:r>
            <w:r w:rsidRPr="00D27BD7">
              <w:rPr>
                <w:rFonts w:ascii="Times" w:hAnsi="Times" w:cs="Times"/>
                <w:iCs/>
                <w:color w:val="222222"/>
                <w:sz w:val="24"/>
                <w:szCs w:val="24"/>
                <w:lang w:eastAsia="lv-LV"/>
              </w:rPr>
              <w:t>šanai, t</w:t>
            </w:r>
            <w:r w:rsidRPr="00D27BD7">
              <w:rPr>
                <w:rFonts w:ascii="Times Baltic" w:hAnsi="Times Baltic"/>
                <w:iCs/>
                <w:color w:val="222222"/>
                <w:sz w:val="24"/>
                <w:szCs w:val="24"/>
                <w:lang w:eastAsia="lv-LV"/>
              </w:rPr>
              <w:t xml:space="preserve">ātad projekta iesniegšanas brīdī jābūt veiktai </w:t>
            </w:r>
            <w:r w:rsidRPr="00D27BD7">
              <w:rPr>
                <w:rFonts w:ascii="Times" w:hAnsi="Times" w:cs="Times"/>
                <w:b/>
                <w:bCs/>
                <w:iCs/>
                <w:color w:val="222222"/>
                <w:sz w:val="24"/>
                <w:szCs w:val="24"/>
                <w:lang w:eastAsia="lv-LV"/>
              </w:rPr>
              <w:t>vismaz tirgus iz</w:t>
            </w:r>
            <w:r w:rsidRPr="00D27BD7">
              <w:rPr>
                <w:rFonts w:ascii="Times Baltic" w:hAnsi="Times Baltic"/>
                <w:b/>
                <w:bCs/>
                <w:iCs/>
                <w:color w:val="222222"/>
                <w:sz w:val="24"/>
                <w:szCs w:val="24"/>
                <w:lang w:eastAsia="lv-LV"/>
              </w:rPr>
              <w:t>pētei</w:t>
            </w:r>
            <w:r w:rsidRPr="00D27BD7">
              <w:rPr>
                <w:rFonts w:ascii="Times Baltic" w:hAnsi="Times Baltic"/>
                <w:iCs/>
                <w:color w:val="222222"/>
                <w:sz w:val="24"/>
                <w:szCs w:val="24"/>
                <w:lang w:eastAsia="lv-LV"/>
              </w:rPr>
              <w:t xml:space="preserve"> (kas pamatota ar nolikuma 11.8.2.1.</w:t>
            </w:r>
            <w:r w:rsidRPr="00D27BD7">
              <w:rPr>
                <w:rFonts w:ascii="Times Baltic" w:hAnsi="Times Baltic" w:hint="eastAsia"/>
                <w:iCs/>
                <w:color w:val="222222"/>
                <w:sz w:val="24"/>
                <w:szCs w:val="24"/>
                <w:lang w:eastAsia="lv-LV"/>
              </w:rPr>
              <w:t> </w:t>
            </w:r>
            <w:r w:rsidRPr="00D27BD7">
              <w:rPr>
                <w:rFonts w:ascii="Times Baltic" w:hAnsi="Times Baltic"/>
                <w:iCs/>
                <w:color w:val="222222"/>
                <w:sz w:val="24"/>
                <w:szCs w:val="24"/>
                <w:lang w:eastAsia="lv-LV"/>
              </w:rPr>
              <w:t>punktā norādīto dokumentāciju</w:t>
            </w:r>
            <w:r w:rsidRPr="00D27BD7">
              <w:rPr>
                <w:rFonts w:ascii="Times Baltic" w:hAnsi="Times Baltic"/>
                <w:b/>
                <w:bCs/>
                <w:iCs/>
                <w:color w:val="222222"/>
                <w:sz w:val="24"/>
                <w:szCs w:val="24"/>
                <w:lang w:eastAsia="lv-LV"/>
              </w:rPr>
              <w:t>) un parakstītam, projekta iesniegumam pievienotam sadarbības nodoma līgumam</w:t>
            </w:r>
            <w:r w:rsidRPr="00D27BD7">
              <w:rPr>
                <w:rFonts w:ascii="Times Baltic" w:hAnsi="Times Baltic"/>
                <w:iCs/>
                <w:color w:val="222222"/>
                <w:sz w:val="24"/>
                <w:szCs w:val="24"/>
                <w:lang w:eastAsia="lv-LV"/>
              </w:rPr>
              <w:t xml:space="preserve"> ar potenciālo emisijas organizētāju vai saņemtam potenciālā emisijas organizētāja apliecinājumam.</w:t>
            </w:r>
            <w:r w:rsidRPr="00D27BD7">
              <w:rPr>
                <w:rFonts w:ascii="Times" w:hAnsi="Times" w:cs="Times"/>
                <w:iCs/>
                <w:color w:val="222222"/>
                <w:sz w:val="24"/>
                <w:szCs w:val="24"/>
                <w:lang w:eastAsia="lv-LV"/>
              </w:rPr>
              <w:t xml:space="preserve"> </w:t>
            </w:r>
            <w:r w:rsidRPr="00D27BD7">
              <w:rPr>
                <w:rFonts w:ascii="Times Baltic" w:hAnsi="Times Baltic"/>
                <w:iCs/>
                <w:sz w:val="24"/>
                <w:szCs w:val="24"/>
              </w:rPr>
              <w:t>Līdz ar to, ja projekta iesniedzējs iesnie</w:t>
            </w:r>
            <w:r w:rsidRPr="00D27BD7">
              <w:rPr>
                <w:rFonts w:ascii="Times" w:hAnsi="Times" w:cs="Times"/>
                <w:iCs/>
                <w:sz w:val="24"/>
                <w:szCs w:val="24"/>
              </w:rPr>
              <w:t>dz</w:t>
            </w:r>
            <w:r w:rsidRPr="00D27BD7">
              <w:rPr>
                <w:rFonts w:ascii="Times Baltic" w:hAnsi="Times Baltic"/>
                <w:iCs/>
                <w:sz w:val="24"/>
                <w:szCs w:val="24"/>
              </w:rPr>
              <w:t xml:space="preserve"> tikai līguma ar emisijas organizētāju</w:t>
            </w:r>
            <w:r w:rsidRPr="00D27BD7">
              <w:rPr>
                <w:rFonts w:ascii="Times" w:hAnsi="Times" w:cs="Times"/>
                <w:iCs/>
                <w:sz w:val="24"/>
                <w:szCs w:val="24"/>
              </w:rPr>
              <w:t xml:space="preserve"> kopiju, bet neiesniedz</w:t>
            </w:r>
            <w:r w:rsidRPr="00D27BD7">
              <w:rPr>
                <w:rFonts w:ascii="Times Baltic" w:hAnsi="Times Baltic"/>
                <w:iCs/>
                <w:sz w:val="24"/>
                <w:szCs w:val="24"/>
              </w:rPr>
              <w:t xml:space="preserve"> pārējos obligātos dokumentus,</w:t>
            </w:r>
            <w:r w:rsidRPr="00D27BD7">
              <w:rPr>
                <w:rFonts w:ascii="Times" w:hAnsi="Times" w:cs="Times"/>
                <w:iCs/>
                <w:sz w:val="24"/>
                <w:szCs w:val="24"/>
              </w:rPr>
              <w:t xml:space="preserve"> vai otr</w:t>
            </w:r>
            <w:r w:rsidRPr="00D27BD7">
              <w:rPr>
                <w:rFonts w:ascii="Times Baltic" w:hAnsi="Times Baltic"/>
                <w:iCs/>
                <w:sz w:val="24"/>
                <w:szCs w:val="24"/>
              </w:rPr>
              <w:t>ādi</w:t>
            </w:r>
            <w:r w:rsidRPr="00D27BD7">
              <w:rPr>
                <w:rFonts w:ascii="Times" w:hAnsi="Times" w:cs="Times"/>
                <w:iCs/>
                <w:sz w:val="24"/>
                <w:szCs w:val="24"/>
              </w:rPr>
              <w:t>,</w:t>
            </w:r>
            <w:r w:rsidRPr="00D27BD7">
              <w:rPr>
                <w:rFonts w:ascii="Times Baltic" w:hAnsi="Times Baltic"/>
                <w:iCs/>
                <w:sz w:val="24"/>
                <w:szCs w:val="24"/>
              </w:rPr>
              <w:t xml:space="preserve"> nav izpildīti visi nosacījumi vismaz vidējas gatavības novērtējumam, un projekta iesniegums </w:t>
            </w:r>
            <w:r w:rsidRPr="00D27BD7">
              <w:rPr>
                <w:rFonts w:ascii="Times" w:hAnsi="Times" w:cs="Times"/>
                <w:iCs/>
                <w:sz w:val="24"/>
                <w:szCs w:val="24"/>
              </w:rPr>
              <w:t>ir noraid</w:t>
            </w:r>
            <w:r w:rsidRPr="00D27BD7">
              <w:rPr>
                <w:rFonts w:ascii="Times Baltic" w:hAnsi="Times Baltic"/>
                <w:iCs/>
                <w:sz w:val="24"/>
                <w:szCs w:val="24"/>
              </w:rPr>
              <w:t>āms</w:t>
            </w:r>
            <w:r w:rsidRPr="00D27BD7">
              <w:rPr>
                <w:rFonts w:ascii="Times" w:hAnsi="Times" w:cs="Times"/>
                <w:iCs/>
                <w:sz w:val="24"/>
                <w:szCs w:val="24"/>
              </w:rPr>
              <w:t>.</w:t>
            </w:r>
            <w:r w:rsidRPr="00D27BD7">
              <w:rPr>
                <w:rFonts w:ascii="Times" w:hAnsi="Times" w:cs="Times"/>
                <w:sz w:val="24"/>
                <w:szCs w:val="24"/>
              </w:rPr>
              <w:t xml:space="preserve"> </w:t>
            </w:r>
          </w:p>
        </w:tc>
      </w:tr>
      <w:tr w:rsidR="00243A81" w:rsidRPr="00934856" w14:paraId="729EFD56" w14:textId="77777777" w:rsidTr="00916DFD">
        <w:tc>
          <w:tcPr>
            <w:tcW w:w="9639" w:type="dxa"/>
            <w:shd w:val="clear" w:color="auto" w:fill="DBDBDB" w:themeFill="accent3" w:themeFillTint="66"/>
          </w:tcPr>
          <w:p w14:paraId="0B4FEC56" w14:textId="77777777" w:rsidR="00D27BD7" w:rsidRDefault="00D27BD7" w:rsidP="00D27BD7">
            <w:pPr>
              <w:spacing w:line="276" w:lineRule="auto"/>
              <w:ind w:left="-7"/>
              <w:jc w:val="both"/>
              <w:rPr>
                <w:rFonts w:ascii="Times" w:hAnsi="Times"/>
                <w:sz w:val="24"/>
                <w:szCs w:val="24"/>
              </w:rPr>
            </w:pPr>
            <w:r>
              <w:rPr>
                <w:rFonts w:ascii="Times" w:hAnsi="Times"/>
                <w:sz w:val="24"/>
                <w:szCs w:val="24"/>
              </w:rPr>
              <w:t>4. jautājums:</w:t>
            </w:r>
          </w:p>
          <w:p w14:paraId="0282E52F" w14:textId="5C94771F" w:rsidR="00243A81" w:rsidRPr="00D27BD7" w:rsidRDefault="00D27BD7" w:rsidP="00D27BD7">
            <w:pPr>
              <w:spacing w:line="276" w:lineRule="auto"/>
              <w:ind w:left="-7"/>
              <w:jc w:val="both"/>
              <w:rPr>
                <w:rFonts w:ascii="Times" w:hAnsi="Times"/>
                <w:sz w:val="24"/>
                <w:szCs w:val="24"/>
              </w:rPr>
            </w:pPr>
            <w:r>
              <w:rPr>
                <w:rFonts w:ascii="Times" w:hAnsi="Times"/>
                <w:sz w:val="24"/>
                <w:szCs w:val="24"/>
              </w:rPr>
              <w:t>Pirmās projektu iesniegumu atlases</w:t>
            </w:r>
            <w:r w:rsidR="00243A81" w:rsidRPr="00D27BD7">
              <w:rPr>
                <w:rFonts w:ascii="Times" w:hAnsi="Times"/>
                <w:sz w:val="24"/>
                <w:szCs w:val="24"/>
              </w:rPr>
              <w:t xml:space="preserve"> kārtas ietvaros saņēmām apliecinājumu no </w:t>
            </w:r>
            <w:proofErr w:type="spellStart"/>
            <w:r w:rsidR="00243A81" w:rsidRPr="00D27BD7">
              <w:rPr>
                <w:rFonts w:ascii="Times" w:hAnsi="Times"/>
                <w:sz w:val="24"/>
                <w:szCs w:val="24"/>
              </w:rPr>
              <w:t>Nasdaq</w:t>
            </w:r>
            <w:proofErr w:type="spellEnd"/>
            <w:r w:rsidR="00243A81" w:rsidRPr="00D27BD7">
              <w:rPr>
                <w:rFonts w:ascii="Times" w:hAnsi="Times"/>
                <w:sz w:val="24"/>
                <w:szCs w:val="24"/>
              </w:rPr>
              <w:t xml:space="preserve"> par notikušu konsultāciju ar </w:t>
            </w:r>
            <w:r>
              <w:rPr>
                <w:rFonts w:ascii="Times" w:hAnsi="Times"/>
                <w:sz w:val="24"/>
                <w:szCs w:val="24"/>
              </w:rPr>
              <w:t>t</w:t>
            </w:r>
            <w:r w:rsidR="00243A81" w:rsidRPr="00D27BD7">
              <w:rPr>
                <w:rFonts w:ascii="Times" w:hAnsi="Times"/>
                <w:sz w:val="24"/>
                <w:szCs w:val="24"/>
              </w:rPr>
              <w:t xml:space="preserve">irdzniecības vietu un par projekta iesniedzēja atbilstību </w:t>
            </w:r>
            <w:r>
              <w:rPr>
                <w:rFonts w:ascii="Times" w:hAnsi="Times"/>
                <w:sz w:val="24"/>
                <w:szCs w:val="24"/>
              </w:rPr>
              <w:t>t</w:t>
            </w:r>
            <w:r w:rsidR="00243A81" w:rsidRPr="00D27BD7">
              <w:rPr>
                <w:rFonts w:ascii="Times" w:hAnsi="Times"/>
                <w:sz w:val="24"/>
                <w:szCs w:val="24"/>
              </w:rPr>
              <w:t>irdzniecības vietas prasībām, apliecinājums ir datēts ar 2020.</w:t>
            </w:r>
            <w:r w:rsidR="00243A81" w:rsidRPr="00D27BD7">
              <w:rPr>
                <w:rFonts w:ascii="Times" w:hAnsi="Times" w:hint="eastAsia"/>
                <w:sz w:val="24"/>
                <w:szCs w:val="24"/>
              </w:rPr>
              <w:t> </w:t>
            </w:r>
            <w:r w:rsidR="00243A81" w:rsidRPr="00D27BD7">
              <w:rPr>
                <w:rFonts w:ascii="Times" w:hAnsi="Times"/>
                <w:sz w:val="24"/>
                <w:szCs w:val="24"/>
              </w:rPr>
              <w:t xml:space="preserve">gada augustu, vai mēs šo pašu apliecinājumu varam iesniegt arī </w:t>
            </w:r>
            <w:r>
              <w:rPr>
                <w:rFonts w:ascii="Times" w:hAnsi="Times"/>
                <w:sz w:val="24"/>
                <w:szCs w:val="24"/>
              </w:rPr>
              <w:t>otrās</w:t>
            </w:r>
            <w:r w:rsidR="00243A81" w:rsidRPr="00D27BD7">
              <w:rPr>
                <w:rFonts w:ascii="Times" w:hAnsi="Times" w:hint="eastAsia"/>
                <w:sz w:val="24"/>
                <w:szCs w:val="24"/>
              </w:rPr>
              <w:t> </w:t>
            </w:r>
            <w:r w:rsidR="00243A81" w:rsidRPr="00D27BD7">
              <w:rPr>
                <w:rFonts w:ascii="Times" w:hAnsi="Times"/>
                <w:sz w:val="24"/>
                <w:szCs w:val="24"/>
              </w:rPr>
              <w:t>kārtas ietvaros? </w:t>
            </w:r>
          </w:p>
        </w:tc>
      </w:tr>
      <w:tr w:rsidR="00243A81" w:rsidRPr="00934856" w14:paraId="07B695E6" w14:textId="77777777" w:rsidTr="00916DFD">
        <w:tc>
          <w:tcPr>
            <w:tcW w:w="9639" w:type="dxa"/>
            <w:shd w:val="clear" w:color="auto" w:fill="FFFFFF" w:themeFill="background1"/>
          </w:tcPr>
          <w:p w14:paraId="23FA2733" w14:textId="77777777" w:rsidR="00D27BD7" w:rsidRPr="00D27BD7" w:rsidRDefault="00D27BD7" w:rsidP="00D27BD7">
            <w:pPr>
              <w:spacing w:after="160" w:line="276" w:lineRule="auto"/>
              <w:jc w:val="both"/>
              <w:rPr>
                <w:rFonts w:ascii="Times Baltic" w:hAnsi="Times Baltic"/>
                <w:iCs/>
                <w:sz w:val="24"/>
                <w:szCs w:val="24"/>
              </w:rPr>
            </w:pPr>
            <w:r w:rsidRPr="00D27BD7">
              <w:rPr>
                <w:rFonts w:ascii="Times Baltic" w:hAnsi="Times Baltic"/>
                <w:iCs/>
                <w:sz w:val="24"/>
                <w:szCs w:val="24"/>
              </w:rPr>
              <w:t>Atbilde uz 4. jautājumu:</w:t>
            </w:r>
          </w:p>
          <w:p w14:paraId="521EEEA8" w14:textId="7B786A16" w:rsidR="00243A81" w:rsidRPr="00D27BD7" w:rsidRDefault="00243A81" w:rsidP="00D27BD7">
            <w:pPr>
              <w:spacing w:after="160" w:line="276" w:lineRule="auto"/>
              <w:jc w:val="both"/>
              <w:rPr>
                <w:rFonts w:ascii="Times Baltic" w:hAnsi="Times Baltic"/>
                <w:iCs/>
                <w:sz w:val="24"/>
                <w:szCs w:val="24"/>
              </w:rPr>
            </w:pPr>
            <w:r w:rsidRPr="00D27BD7">
              <w:rPr>
                <w:rFonts w:ascii="Times Baltic" w:hAnsi="Times Baltic"/>
                <w:iCs/>
                <w:sz w:val="24"/>
                <w:szCs w:val="24"/>
              </w:rPr>
              <w:t>Saņemtā tirdzniecības vietas apliecinājuma datumam nav būtiskas nozīmes, ja neatšķiras projektā plānotās darbības (akciju vai parāda vērtspapīru emisija) veids – var iesniegt ar 2020. gada augustu datētu apliecinājumu.</w:t>
            </w:r>
          </w:p>
        </w:tc>
      </w:tr>
      <w:tr w:rsidR="007A7138" w:rsidRPr="00934856" w14:paraId="0FFD1B9E" w14:textId="77777777" w:rsidTr="00916DFD">
        <w:tc>
          <w:tcPr>
            <w:tcW w:w="9639" w:type="dxa"/>
            <w:shd w:val="clear" w:color="auto" w:fill="D9D9D9" w:themeFill="background1" w:themeFillShade="D9"/>
          </w:tcPr>
          <w:p w14:paraId="6A734DA9" w14:textId="4BFFF4C0" w:rsidR="007A7138" w:rsidRPr="007A7138" w:rsidRDefault="007A7138" w:rsidP="007A7138">
            <w:pPr>
              <w:spacing w:line="276" w:lineRule="auto"/>
              <w:ind w:left="-7"/>
              <w:jc w:val="both"/>
              <w:rPr>
                <w:rFonts w:ascii="Times" w:hAnsi="Times"/>
                <w:sz w:val="24"/>
                <w:szCs w:val="24"/>
              </w:rPr>
            </w:pPr>
            <w:r w:rsidRPr="007A7138">
              <w:rPr>
                <w:rFonts w:ascii="Times" w:hAnsi="Times"/>
                <w:sz w:val="24"/>
                <w:szCs w:val="24"/>
              </w:rPr>
              <w:t>5.</w:t>
            </w:r>
            <w:r w:rsidR="002B6659">
              <w:rPr>
                <w:rFonts w:ascii="Times" w:hAnsi="Times"/>
                <w:sz w:val="24"/>
                <w:szCs w:val="24"/>
              </w:rPr>
              <w:t> </w:t>
            </w:r>
            <w:r w:rsidRPr="007A7138">
              <w:rPr>
                <w:rFonts w:ascii="Times" w:hAnsi="Times"/>
                <w:sz w:val="24"/>
                <w:szCs w:val="24"/>
              </w:rPr>
              <w:t>jautājums</w:t>
            </w:r>
            <w:r>
              <w:rPr>
                <w:rFonts w:ascii="Times" w:hAnsi="Times"/>
                <w:sz w:val="24"/>
                <w:szCs w:val="24"/>
              </w:rPr>
              <w:t>:</w:t>
            </w:r>
          </w:p>
          <w:p w14:paraId="69E1A17D" w14:textId="38E67141" w:rsidR="007A7138" w:rsidRPr="007A7138" w:rsidRDefault="007A7138" w:rsidP="007A7138">
            <w:pPr>
              <w:spacing w:line="276" w:lineRule="auto"/>
              <w:ind w:left="-7"/>
              <w:jc w:val="both"/>
              <w:rPr>
                <w:rFonts w:ascii="Times" w:hAnsi="Times"/>
                <w:sz w:val="24"/>
                <w:szCs w:val="24"/>
              </w:rPr>
            </w:pPr>
            <w:r w:rsidRPr="007A7138">
              <w:rPr>
                <w:rFonts w:ascii="Times" w:hAnsi="Times"/>
                <w:sz w:val="24"/>
                <w:szCs w:val="24"/>
              </w:rPr>
              <w:t>Uzņēmums ir veicis cenu aptauju par visām projekta ietvaros plānotajām izmaksām. Ir noslēgts līgums ar emisijas organizētāju, tomēr emisijas organizētāja izmaksas nevēlamies iekļaut projektā kā attiecināmās izmaksas? Vai emisijas organizētāja izmaksas projekta iesnieguma 3.</w:t>
            </w:r>
            <w:r w:rsidR="002B6659">
              <w:rPr>
                <w:rFonts w:ascii="Times" w:hAnsi="Times"/>
                <w:sz w:val="24"/>
                <w:szCs w:val="24"/>
              </w:rPr>
              <w:t> </w:t>
            </w:r>
            <w:r w:rsidRPr="007A7138">
              <w:rPr>
                <w:rFonts w:ascii="Times" w:hAnsi="Times"/>
                <w:sz w:val="24"/>
                <w:szCs w:val="24"/>
              </w:rPr>
              <w:t>pielikumā jānorāda kā neattiecināmās izmaksas un jānorāda kā darbība projekta iesnieguma 1.5.</w:t>
            </w:r>
            <w:r w:rsidR="002B6659">
              <w:rPr>
                <w:rFonts w:ascii="Times" w:hAnsi="Times"/>
                <w:sz w:val="24"/>
                <w:szCs w:val="24"/>
              </w:rPr>
              <w:t> </w:t>
            </w:r>
            <w:r w:rsidRPr="007A7138">
              <w:rPr>
                <w:rFonts w:ascii="Times" w:hAnsi="Times"/>
                <w:sz w:val="24"/>
                <w:szCs w:val="24"/>
              </w:rPr>
              <w:t>punktā “Projekta darbības un sasniedzamie rezultāti”?</w:t>
            </w:r>
          </w:p>
        </w:tc>
      </w:tr>
      <w:tr w:rsidR="007A7138" w:rsidRPr="00934856" w14:paraId="0363C05A" w14:textId="77777777" w:rsidTr="00916DFD">
        <w:tc>
          <w:tcPr>
            <w:tcW w:w="9639" w:type="dxa"/>
            <w:shd w:val="clear" w:color="auto" w:fill="FFFFFF" w:themeFill="background1"/>
          </w:tcPr>
          <w:p w14:paraId="6DE23BC6" w14:textId="024EB101" w:rsidR="007A7138" w:rsidRPr="00D27BD7" w:rsidRDefault="007A7138" w:rsidP="007A7138">
            <w:pPr>
              <w:spacing w:after="160" w:line="276" w:lineRule="auto"/>
              <w:jc w:val="both"/>
              <w:rPr>
                <w:rFonts w:ascii="Times Baltic" w:hAnsi="Times Baltic"/>
                <w:iCs/>
                <w:sz w:val="24"/>
                <w:szCs w:val="24"/>
              </w:rPr>
            </w:pPr>
            <w:r w:rsidRPr="00D27BD7">
              <w:rPr>
                <w:rFonts w:ascii="Times Baltic" w:hAnsi="Times Baltic"/>
                <w:iCs/>
                <w:sz w:val="24"/>
                <w:szCs w:val="24"/>
              </w:rPr>
              <w:t xml:space="preserve">Atbilde uz </w:t>
            </w:r>
            <w:r>
              <w:rPr>
                <w:rFonts w:ascii="Times Baltic" w:hAnsi="Times Baltic"/>
                <w:iCs/>
                <w:sz w:val="24"/>
                <w:szCs w:val="24"/>
              </w:rPr>
              <w:t>5</w:t>
            </w:r>
            <w:r w:rsidRPr="00D27BD7">
              <w:rPr>
                <w:rFonts w:ascii="Times Baltic" w:hAnsi="Times Baltic"/>
                <w:iCs/>
                <w:sz w:val="24"/>
                <w:szCs w:val="24"/>
              </w:rPr>
              <w:t>.</w:t>
            </w:r>
            <w:r w:rsidR="002B6659">
              <w:rPr>
                <w:rFonts w:ascii="Times Baltic" w:hAnsi="Times Baltic" w:hint="eastAsia"/>
                <w:iCs/>
                <w:sz w:val="24"/>
                <w:szCs w:val="24"/>
              </w:rPr>
              <w:t> </w:t>
            </w:r>
            <w:r w:rsidRPr="00D27BD7">
              <w:rPr>
                <w:rFonts w:ascii="Times Baltic" w:hAnsi="Times Baltic"/>
                <w:iCs/>
                <w:sz w:val="24"/>
                <w:szCs w:val="24"/>
              </w:rPr>
              <w:t>jautājumu:</w:t>
            </w:r>
          </w:p>
          <w:p w14:paraId="7022D574" w14:textId="00FF486F" w:rsidR="007A7138" w:rsidRPr="007A7138" w:rsidRDefault="007A7138" w:rsidP="00D27BD7">
            <w:pPr>
              <w:spacing w:after="160" w:line="276" w:lineRule="auto"/>
              <w:jc w:val="both"/>
              <w:rPr>
                <w:rFonts w:ascii="Times Baltic" w:hAnsi="Times Baltic"/>
                <w:iCs/>
                <w:sz w:val="24"/>
                <w:szCs w:val="24"/>
              </w:rPr>
            </w:pPr>
            <w:r w:rsidRPr="007A7138">
              <w:rPr>
                <w:rFonts w:ascii="Times" w:hAnsi="Times"/>
                <w:sz w:val="24"/>
                <w:szCs w:val="24"/>
              </w:rPr>
              <w:t>Jā, arī gadījumā, ja projekta iesniedzējs nevēlas attiecināt emisijas organizētāja izmaksas, emisijas organizatora pakalpojumi ir jāiekļauj projekta iesnieguma 1.5.</w:t>
            </w:r>
            <w:r w:rsidR="002B6659">
              <w:rPr>
                <w:rFonts w:ascii="Times" w:hAnsi="Times"/>
                <w:sz w:val="24"/>
                <w:szCs w:val="24"/>
              </w:rPr>
              <w:t> </w:t>
            </w:r>
            <w:r w:rsidRPr="007A7138">
              <w:rPr>
                <w:rFonts w:ascii="Times" w:hAnsi="Times"/>
                <w:sz w:val="24"/>
                <w:szCs w:val="24"/>
              </w:rPr>
              <w:t xml:space="preserve">punktā “Projekta darbības un sasniedzamie rezultāti”, sniedzot skaidrojumu par aktivitātēm, ko šī darbība ietver un kuras ir </w:t>
            </w:r>
            <w:r w:rsidRPr="007A7138">
              <w:rPr>
                <w:rFonts w:ascii="Times" w:hAnsi="Times"/>
                <w:sz w:val="24"/>
                <w:szCs w:val="24"/>
              </w:rPr>
              <w:lastRenderedPageBreak/>
              <w:t>veiktas līdz projekta iesnieguma iesniegšanai (piemēram, norādot, ka ir noslēgts līgums), jo šī darbība ir neaizvietojama sekmīgas emisijas nodrošināšanai – ja šāda darbība nav ietverta, nav iespējams gūt pārliecību, ka ar projekta iesniegumā norādītajām darbībām būtu iespējams sasniegt projekta mērķi. Vienlaikus šī darbība jāiekļauj gan projekta iesnieguma 1.</w:t>
            </w:r>
            <w:r w:rsidR="002B6659">
              <w:rPr>
                <w:rFonts w:ascii="Times" w:hAnsi="Times"/>
                <w:sz w:val="24"/>
                <w:szCs w:val="24"/>
              </w:rPr>
              <w:t> </w:t>
            </w:r>
            <w:r w:rsidRPr="007A7138">
              <w:rPr>
                <w:rFonts w:ascii="Times" w:hAnsi="Times"/>
                <w:sz w:val="24"/>
                <w:szCs w:val="24"/>
              </w:rPr>
              <w:t>pielikumā “Projekta īstenošanas laika grafiks” (attiecīgi, periodu, kurā  projekta darbība tika/tiks veikta līdz plānotajai līguma par projekta īstenošanu noslēgšanai, atzīmējot ar “P”), gan projekta iesnieguma 3.</w:t>
            </w:r>
            <w:r w:rsidR="002B6659">
              <w:rPr>
                <w:rFonts w:ascii="Times" w:hAnsi="Times"/>
                <w:sz w:val="24"/>
                <w:szCs w:val="24"/>
              </w:rPr>
              <w:t> </w:t>
            </w:r>
            <w:r w:rsidRPr="007A7138">
              <w:rPr>
                <w:rFonts w:ascii="Times" w:hAnsi="Times"/>
                <w:sz w:val="24"/>
                <w:szCs w:val="24"/>
              </w:rPr>
              <w:t>pielikumā “Projekta budžeta kopsavilkums”, kur jānodrošina šīs darbības skaidra sasaiste ar attiecīgu izmaksu pozīciju (pozīcijas izmaksas pilnā apmērā norādot kā neattiecināmas, ja projekta iesniedzējs nevēlas attiecināt šīs izmaksas).</w:t>
            </w:r>
          </w:p>
        </w:tc>
      </w:tr>
      <w:tr w:rsidR="007A7138" w:rsidRPr="00934856" w14:paraId="639EAE19" w14:textId="77777777" w:rsidTr="00916DFD">
        <w:tc>
          <w:tcPr>
            <w:tcW w:w="9639" w:type="dxa"/>
            <w:shd w:val="clear" w:color="auto" w:fill="D9D9D9" w:themeFill="background1" w:themeFillShade="D9"/>
          </w:tcPr>
          <w:p w14:paraId="7D02575E" w14:textId="77777777" w:rsidR="002B6659" w:rsidRPr="002B6659" w:rsidRDefault="002B6659" w:rsidP="002B6659">
            <w:pPr>
              <w:spacing w:line="276" w:lineRule="auto"/>
              <w:ind w:left="-7"/>
              <w:jc w:val="both"/>
              <w:rPr>
                <w:rFonts w:ascii="Times" w:hAnsi="Times"/>
                <w:sz w:val="24"/>
                <w:szCs w:val="24"/>
              </w:rPr>
            </w:pPr>
            <w:r w:rsidRPr="002B6659">
              <w:rPr>
                <w:rFonts w:ascii="Times" w:hAnsi="Times"/>
                <w:sz w:val="24"/>
                <w:szCs w:val="24"/>
              </w:rPr>
              <w:lastRenderedPageBreak/>
              <w:t>6.</w:t>
            </w:r>
            <w:r w:rsidRPr="002B6659">
              <w:rPr>
                <w:rFonts w:ascii="Times" w:hAnsi="Times" w:hint="eastAsia"/>
                <w:sz w:val="24"/>
                <w:szCs w:val="24"/>
              </w:rPr>
              <w:t> </w:t>
            </w:r>
            <w:r w:rsidRPr="002B6659">
              <w:rPr>
                <w:rFonts w:ascii="Times" w:hAnsi="Times"/>
                <w:sz w:val="24"/>
                <w:szCs w:val="24"/>
              </w:rPr>
              <w:t>jautājums:</w:t>
            </w:r>
          </w:p>
          <w:p w14:paraId="620B3936" w14:textId="5372DBA4" w:rsidR="007A7138" w:rsidRPr="002B6659" w:rsidRDefault="007A7138" w:rsidP="002B6659">
            <w:pPr>
              <w:spacing w:line="276" w:lineRule="auto"/>
              <w:ind w:left="-7"/>
              <w:jc w:val="both"/>
              <w:rPr>
                <w:rFonts w:ascii="Times" w:hAnsi="Times"/>
                <w:sz w:val="24"/>
                <w:szCs w:val="24"/>
              </w:rPr>
            </w:pPr>
            <w:r w:rsidRPr="002B6659">
              <w:rPr>
                <w:rFonts w:ascii="Times" w:hAnsi="Times"/>
                <w:sz w:val="24"/>
                <w:szCs w:val="24"/>
              </w:rPr>
              <w:t>Vai, apliecinot projekta gatavības stadiju, kā pamatojumu varam iesniegt emisijas organizētāja parakstītu apliecinājumu, ka līgums ir parakstīts, nevis pašu līgumu?</w:t>
            </w:r>
          </w:p>
        </w:tc>
      </w:tr>
      <w:tr w:rsidR="007A7138" w:rsidRPr="00934856" w14:paraId="3928D891" w14:textId="77777777" w:rsidTr="00916DFD">
        <w:tc>
          <w:tcPr>
            <w:tcW w:w="9639" w:type="dxa"/>
            <w:shd w:val="clear" w:color="auto" w:fill="FFFFFF" w:themeFill="background1"/>
          </w:tcPr>
          <w:p w14:paraId="18B08A0E" w14:textId="519C0CB9" w:rsidR="007A7138" w:rsidRPr="00D27BD7" w:rsidRDefault="007A7138" w:rsidP="007A7138">
            <w:pPr>
              <w:spacing w:after="160" w:line="276" w:lineRule="auto"/>
              <w:jc w:val="both"/>
              <w:rPr>
                <w:rFonts w:ascii="Times Baltic" w:hAnsi="Times Baltic"/>
                <w:iCs/>
                <w:sz w:val="24"/>
                <w:szCs w:val="24"/>
              </w:rPr>
            </w:pPr>
            <w:r w:rsidRPr="00D27BD7">
              <w:rPr>
                <w:rFonts w:ascii="Times Baltic" w:hAnsi="Times Baltic"/>
                <w:iCs/>
                <w:sz w:val="24"/>
                <w:szCs w:val="24"/>
              </w:rPr>
              <w:t xml:space="preserve">Atbilde uz </w:t>
            </w:r>
            <w:r>
              <w:rPr>
                <w:rFonts w:ascii="Times Baltic" w:hAnsi="Times Baltic"/>
                <w:iCs/>
                <w:sz w:val="24"/>
                <w:szCs w:val="24"/>
              </w:rPr>
              <w:t>6</w:t>
            </w:r>
            <w:r w:rsidRPr="00D27BD7">
              <w:rPr>
                <w:rFonts w:ascii="Times Baltic" w:hAnsi="Times Baltic"/>
                <w:iCs/>
                <w:sz w:val="24"/>
                <w:szCs w:val="24"/>
              </w:rPr>
              <w:t>. jautājumu:</w:t>
            </w:r>
          </w:p>
          <w:p w14:paraId="18A2D096" w14:textId="497725E9" w:rsidR="007A7138" w:rsidRPr="007A7138" w:rsidRDefault="00D66351" w:rsidP="00D27BD7">
            <w:pPr>
              <w:spacing w:after="160" w:line="276" w:lineRule="auto"/>
              <w:jc w:val="both"/>
              <w:rPr>
                <w:rFonts w:ascii="Times Baltic" w:hAnsi="Times Baltic"/>
                <w:iCs/>
                <w:sz w:val="24"/>
                <w:szCs w:val="24"/>
              </w:rPr>
            </w:pPr>
            <w:r>
              <w:rPr>
                <w:rFonts w:ascii="Times Baltic" w:hAnsi="Times Baltic"/>
                <w:iCs/>
                <w:sz w:val="24"/>
                <w:szCs w:val="24"/>
              </w:rPr>
              <w:t>U</w:t>
            </w:r>
            <w:r w:rsidR="007A7138" w:rsidRPr="007A7138">
              <w:rPr>
                <w:rFonts w:ascii="Times Baltic" w:hAnsi="Times Baltic"/>
                <w:iCs/>
                <w:sz w:val="24"/>
                <w:szCs w:val="24"/>
              </w:rPr>
              <w:t>zņēmums var neiesniegt līgumu, bet iesniegt emisijas organizētāja apliecinājumu par līguma esamību</w:t>
            </w:r>
            <w:r>
              <w:rPr>
                <w:rFonts w:ascii="Times Baltic" w:hAnsi="Times Baltic"/>
                <w:iCs/>
                <w:sz w:val="24"/>
                <w:szCs w:val="24"/>
              </w:rPr>
              <w:t xml:space="preserve"> (</w:t>
            </w:r>
            <w:r w:rsidR="008225F4">
              <w:rPr>
                <w:rFonts w:ascii="Times Baltic" w:hAnsi="Times Baltic"/>
                <w:iCs/>
                <w:sz w:val="24"/>
                <w:szCs w:val="24"/>
              </w:rPr>
              <w:t xml:space="preserve">apliecinājumā jākļauj informācija, ka līgums ietver </w:t>
            </w:r>
            <w:r>
              <w:rPr>
                <w:rFonts w:ascii="Times Baltic" w:hAnsi="Times Baltic"/>
                <w:iCs/>
                <w:sz w:val="24"/>
                <w:szCs w:val="24"/>
              </w:rPr>
              <w:t>MK noteikumu 17.1., 17.2. un/vai 17.3.</w:t>
            </w:r>
            <w:r>
              <w:rPr>
                <w:rFonts w:ascii="Times Baltic" w:hAnsi="Times Baltic" w:hint="eastAsia"/>
                <w:iCs/>
                <w:sz w:val="24"/>
                <w:szCs w:val="24"/>
              </w:rPr>
              <w:t> </w:t>
            </w:r>
            <w:r>
              <w:rPr>
                <w:rFonts w:ascii="Times Baltic" w:hAnsi="Times Baltic"/>
                <w:iCs/>
                <w:sz w:val="24"/>
                <w:szCs w:val="24"/>
              </w:rPr>
              <w:t>apakšpunktā noteikto darbību īstenošanu)</w:t>
            </w:r>
            <w:r w:rsidR="007A7138" w:rsidRPr="007A7138">
              <w:rPr>
                <w:rFonts w:ascii="Times Baltic" w:hAnsi="Times Baltic"/>
                <w:iCs/>
                <w:sz w:val="24"/>
                <w:szCs w:val="24"/>
              </w:rPr>
              <w:t>. Vēršam uzmanību, ka šādā gadījumā atbilstoš</w:t>
            </w:r>
            <w:r w:rsidR="002B6659">
              <w:rPr>
                <w:rFonts w:ascii="Times Baltic" w:hAnsi="Times Baltic"/>
                <w:iCs/>
                <w:sz w:val="24"/>
                <w:szCs w:val="24"/>
              </w:rPr>
              <w:t>i</w:t>
            </w:r>
            <w:r w:rsidR="007A7138" w:rsidRPr="007A7138">
              <w:rPr>
                <w:rFonts w:ascii="Times Baltic" w:hAnsi="Times Baltic"/>
                <w:iCs/>
                <w:sz w:val="24"/>
                <w:szCs w:val="24"/>
              </w:rPr>
              <w:t xml:space="preserve"> atlases nolikuma 4.</w:t>
            </w:r>
            <w:r w:rsidR="002B6659">
              <w:rPr>
                <w:rFonts w:ascii="Times Baltic" w:hAnsi="Times Baltic" w:hint="eastAsia"/>
                <w:iCs/>
                <w:sz w:val="24"/>
                <w:szCs w:val="24"/>
              </w:rPr>
              <w:t> </w:t>
            </w:r>
            <w:r w:rsidR="007A7138" w:rsidRPr="007A7138">
              <w:rPr>
                <w:rFonts w:ascii="Times Baltic" w:hAnsi="Times Baltic"/>
                <w:iCs/>
                <w:sz w:val="24"/>
                <w:szCs w:val="24"/>
              </w:rPr>
              <w:t>pielikumam “Projektu iesniegumu vērtēšanas kritēriju piemērošanas metodika” iesniegtais apliecinājums kvalitātes kritērijā Nr.</w:t>
            </w:r>
            <w:r w:rsidR="002B6659">
              <w:rPr>
                <w:rFonts w:ascii="Times Baltic" w:hAnsi="Times Baltic" w:hint="eastAsia"/>
                <w:iCs/>
                <w:sz w:val="24"/>
                <w:szCs w:val="24"/>
              </w:rPr>
              <w:t> </w:t>
            </w:r>
            <w:r w:rsidR="007A7138" w:rsidRPr="007A7138">
              <w:rPr>
                <w:rFonts w:ascii="Times Baltic" w:hAnsi="Times Baltic"/>
                <w:iCs/>
                <w:sz w:val="24"/>
                <w:szCs w:val="24"/>
              </w:rPr>
              <w:t xml:space="preserve">3.1. tiks vērtēts kā vidēji augstu gatavību apliecinošs dokuments, jo, lai projekta gatavība </w:t>
            </w:r>
            <w:r>
              <w:rPr>
                <w:rFonts w:ascii="Times Baltic" w:hAnsi="Times Baltic"/>
                <w:iCs/>
                <w:sz w:val="24"/>
                <w:szCs w:val="24"/>
              </w:rPr>
              <w:t xml:space="preserve">varētu </w:t>
            </w:r>
            <w:r w:rsidR="007A7138" w:rsidRPr="007A7138">
              <w:rPr>
                <w:rFonts w:ascii="Times Baltic" w:hAnsi="Times Baltic"/>
                <w:iCs/>
                <w:sz w:val="24"/>
                <w:szCs w:val="24"/>
              </w:rPr>
              <w:t>tikt atzīta par augstu, līgumam ar emisijas organizētāju jābūt ne vien noslēgtam, bet arī pievienotam projekta iesnieguma pielikumā.</w:t>
            </w:r>
          </w:p>
        </w:tc>
      </w:tr>
      <w:tr w:rsidR="00916DFD" w:rsidRPr="00934856" w14:paraId="153FD7C0" w14:textId="77777777" w:rsidTr="00916DFD">
        <w:tc>
          <w:tcPr>
            <w:tcW w:w="9639" w:type="dxa"/>
            <w:shd w:val="clear" w:color="auto" w:fill="D9D9D9" w:themeFill="background1" w:themeFillShade="D9"/>
          </w:tcPr>
          <w:p w14:paraId="45B6B19F" w14:textId="25FDE135" w:rsidR="00916DFD" w:rsidRPr="002B6659" w:rsidRDefault="00916DFD" w:rsidP="00670526">
            <w:pPr>
              <w:spacing w:line="276" w:lineRule="auto"/>
              <w:ind w:left="-7"/>
              <w:jc w:val="both"/>
              <w:rPr>
                <w:rFonts w:ascii="Times" w:hAnsi="Times"/>
                <w:sz w:val="24"/>
                <w:szCs w:val="24"/>
              </w:rPr>
            </w:pPr>
            <w:r>
              <w:rPr>
                <w:rFonts w:ascii="Times" w:hAnsi="Times"/>
                <w:sz w:val="24"/>
                <w:szCs w:val="24"/>
              </w:rPr>
              <w:t>7</w:t>
            </w:r>
            <w:r w:rsidRPr="002B6659">
              <w:rPr>
                <w:rFonts w:ascii="Times" w:hAnsi="Times"/>
                <w:sz w:val="24"/>
                <w:szCs w:val="24"/>
              </w:rPr>
              <w:t>.</w:t>
            </w:r>
            <w:r w:rsidRPr="002B6659">
              <w:rPr>
                <w:rFonts w:ascii="Times" w:hAnsi="Times" w:hint="eastAsia"/>
                <w:sz w:val="24"/>
                <w:szCs w:val="24"/>
              </w:rPr>
              <w:t> </w:t>
            </w:r>
            <w:r w:rsidRPr="002B6659">
              <w:rPr>
                <w:rFonts w:ascii="Times" w:hAnsi="Times"/>
                <w:sz w:val="24"/>
                <w:szCs w:val="24"/>
              </w:rPr>
              <w:t>jautājums:</w:t>
            </w:r>
          </w:p>
          <w:p w14:paraId="0CC8FA87" w14:textId="0F3DED23" w:rsidR="00916DFD" w:rsidRPr="002B6659" w:rsidRDefault="00916DFD" w:rsidP="00670526">
            <w:pPr>
              <w:spacing w:line="276" w:lineRule="auto"/>
              <w:ind w:left="-7"/>
              <w:jc w:val="both"/>
              <w:rPr>
                <w:rFonts w:ascii="Times" w:hAnsi="Times"/>
                <w:sz w:val="24"/>
                <w:szCs w:val="24"/>
              </w:rPr>
            </w:pPr>
            <w:r w:rsidRPr="00916DFD">
              <w:rPr>
                <w:rFonts w:ascii="Times" w:hAnsi="Times"/>
                <w:sz w:val="24"/>
                <w:szCs w:val="24"/>
              </w:rPr>
              <w:t>Vai CFLA atbalsta programmā finansējuma piesaistei kapitāla tirgos ir arī kādas īpašas priekšrocības zaļo obligāciju emitentiem?</w:t>
            </w:r>
          </w:p>
        </w:tc>
      </w:tr>
      <w:tr w:rsidR="00916DFD" w:rsidRPr="00934856" w14:paraId="76DC050D" w14:textId="77777777" w:rsidTr="00916DFD">
        <w:tc>
          <w:tcPr>
            <w:tcW w:w="9639" w:type="dxa"/>
          </w:tcPr>
          <w:p w14:paraId="4D4497E6" w14:textId="2758B33E" w:rsidR="00916DFD" w:rsidRPr="00916DFD" w:rsidRDefault="00916DFD" w:rsidP="00916DFD">
            <w:pPr>
              <w:spacing w:after="160" w:line="276" w:lineRule="auto"/>
              <w:jc w:val="both"/>
              <w:rPr>
                <w:rFonts w:ascii="Times New Roman" w:hAnsi="Times New Roman"/>
                <w:iCs/>
                <w:sz w:val="24"/>
                <w:szCs w:val="24"/>
              </w:rPr>
            </w:pPr>
            <w:r w:rsidRPr="00916DFD">
              <w:rPr>
                <w:rFonts w:ascii="Times New Roman" w:hAnsi="Times New Roman"/>
                <w:iCs/>
                <w:sz w:val="24"/>
                <w:szCs w:val="24"/>
              </w:rPr>
              <w:t>Atbilde uz 7. jautājumu:</w:t>
            </w:r>
          </w:p>
          <w:p w14:paraId="5B842067" w14:textId="68CFFCAD" w:rsidR="00916DFD" w:rsidRPr="00916DFD" w:rsidRDefault="00916DFD" w:rsidP="00916DFD">
            <w:pPr>
              <w:spacing w:line="276" w:lineRule="auto"/>
              <w:jc w:val="both"/>
              <w:rPr>
                <w:rFonts w:ascii="Times New Roman" w:hAnsi="Times New Roman"/>
                <w:sz w:val="24"/>
                <w:szCs w:val="24"/>
              </w:rPr>
            </w:pPr>
            <w:r w:rsidRPr="00916DFD">
              <w:rPr>
                <w:rFonts w:ascii="Times New Roman" w:hAnsi="Times New Roman"/>
                <w:sz w:val="24"/>
                <w:szCs w:val="24"/>
              </w:rPr>
              <w:t xml:space="preserve">Tas, ka tiek emitētas zaļās obligācijas, pats par sevi nekādu priekšrocību nerada, tomēr, ja zaļo obligāciju emisijas rezultātā piesaistītais finansējums tiks ieguldīts ar kādu no </w:t>
            </w:r>
            <w:proofErr w:type="spellStart"/>
            <w:r w:rsidRPr="00916DFD">
              <w:rPr>
                <w:rFonts w:ascii="Times New Roman" w:hAnsi="Times New Roman"/>
                <w:sz w:val="24"/>
                <w:szCs w:val="24"/>
              </w:rPr>
              <w:t>eko</w:t>
            </w:r>
            <w:proofErr w:type="spellEnd"/>
            <w:r w:rsidRPr="00916DFD">
              <w:rPr>
                <w:rFonts w:ascii="Times New Roman" w:hAnsi="Times New Roman"/>
                <w:sz w:val="24"/>
                <w:szCs w:val="24"/>
              </w:rPr>
              <w:t xml:space="preserve">-inovāciju jomām saistītu pasākumu ieviešanai, un projekta iesnieguma 3. sadaļā “Saskaņa ar horizontālajiem principiem” par to ir sniegta atbilstoša informācija, projekta iesniedzējam ir iespēja saņemt piecus punktus projektu iesniegumu vērtēšanas kvalitātes kritērijā Nr. 4.1, tādējādi pretendējot uz augstāku pozīciju projektu iesniegumu </w:t>
            </w:r>
            <w:proofErr w:type="spellStart"/>
            <w:r w:rsidRPr="00916DFD">
              <w:rPr>
                <w:rFonts w:ascii="Times New Roman" w:hAnsi="Times New Roman"/>
                <w:sz w:val="24"/>
                <w:szCs w:val="24"/>
              </w:rPr>
              <w:t>ranžējumā</w:t>
            </w:r>
            <w:proofErr w:type="spellEnd"/>
            <w:r w:rsidRPr="00916DFD">
              <w:rPr>
                <w:rFonts w:ascii="Times New Roman" w:hAnsi="Times New Roman"/>
                <w:sz w:val="24"/>
                <w:szCs w:val="24"/>
              </w:rPr>
              <w:t xml:space="preserve"> (detalizētāk par to, kas ir uzskatāms par </w:t>
            </w:r>
            <w:proofErr w:type="spellStart"/>
            <w:r w:rsidRPr="00916DFD">
              <w:rPr>
                <w:rFonts w:ascii="Times New Roman" w:hAnsi="Times New Roman"/>
                <w:sz w:val="24"/>
                <w:szCs w:val="24"/>
              </w:rPr>
              <w:t>eko</w:t>
            </w:r>
            <w:proofErr w:type="spellEnd"/>
            <w:r w:rsidRPr="00916DFD">
              <w:rPr>
                <w:rFonts w:ascii="Times New Roman" w:hAnsi="Times New Roman"/>
                <w:sz w:val="24"/>
                <w:szCs w:val="24"/>
              </w:rPr>
              <w:t xml:space="preserve">-inovāciju ilgtspējīgas attīstības kontekstā, skaidrots Vides aizsardzības un reģionālās attīstības ministrijas izstrādātajā dokumentā </w:t>
            </w:r>
            <w:hyperlink r:id="rId11" w:history="1">
              <w:r w:rsidRPr="00916DFD">
                <w:rPr>
                  <w:rStyle w:val="Hyperlink"/>
                  <w:rFonts w:ascii="Times New Roman" w:hAnsi="Times New Roman"/>
                  <w:sz w:val="24"/>
                  <w:szCs w:val="24"/>
                </w:rPr>
                <w:t>“Metodika 2014.-2020. gada Eiropas Reģionālās attīstības fonda, Eiropas Sociālā fonda un Kohēzijas fonda ieviešanā iesaistītajiem horizontālā principa „Ilgtspējīga attīstība” īstenošanas uzraudzībai”</w:t>
              </w:r>
            </w:hyperlink>
            <w:r w:rsidRPr="00916DFD">
              <w:rPr>
                <w:rFonts w:ascii="Times New Roman" w:hAnsi="Times New Roman"/>
                <w:sz w:val="24"/>
                <w:szCs w:val="24"/>
              </w:rPr>
              <w:t xml:space="preserve">). </w:t>
            </w:r>
          </w:p>
        </w:tc>
      </w:tr>
    </w:tbl>
    <w:p w14:paraId="4171C04A" w14:textId="77777777" w:rsidR="00934856" w:rsidRDefault="00934856" w:rsidP="00D27BD7">
      <w:pPr>
        <w:spacing w:line="276" w:lineRule="auto"/>
      </w:pPr>
    </w:p>
    <w:sectPr w:rsidR="00934856" w:rsidSect="00A350DB">
      <w:pgSz w:w="11906" w:h="16838"/>
      <w:pgMar w:top="11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23F3" w14:textId="77777777" w:rsidR="00A27A34" w:rsidRDefault="00A27A34" w:rsidP="00934856">
      <w:r>
        <w:separator/>
      </w:r>
    </w:p>
  </w:endnote>
  <w:endnote w:type="continuationSeparator" w:id="0">
    <w:p w14:paraId="2B94AD44" w14:textId="77777777" w:rsidR="00A27A34" w:rsidRDefault="00A27A34" w:rsidP="0093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Times Baltic">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4C16" w14:textId="77777777" w:rsidR="00A27A34" w:rsidRDefault="00A27A34" w:rsidP="00934856">
      <w:r>
        <w:separator/>
      </w:r>
    </w:p>
  </w:footnote>
  <w:footnote w:type="continuationSeparator" w:id="0">
    <w:p w14:paraId="021CE272" w14:textId="77777777" w:rsidR="00A27A34" w:rsidRDefault="00A27A34" w:rsidP="0093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29A"/>
    <w:multiLevelType w:val="multilevel"/>
    <w:tmpl w:val="F7A037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9837CC9"/>
    <w:multiLevelType w:val="hybridMultilevel"/>
    <w:tmpl w:val="FA82EED6"/>
    <w:lvl w:ilvl="0" w:tplc="0409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A753E8A"/>
    <w:multiLevelType w:val="hybridMultilevel"/>
    <w:tmpl w:val="CB4805A2"/>
    <w:lvl w:ilvl="0" w:tplc="8C26EFD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310D75B7"/>
    <w:multiLevelType w:val="hybridMultilevel"/>
    <w:tmpl w:val="9B8CDAB2"/>
    <w:lvl w:ilvl="0" w:tplc="A58A1686">
      <w:start w:val="1"/>
      <w:numFmt w:val="bullet"/>
      <w:lvlText w:val="-"/>
      <w:lvlJc w:val="left"/>
      <w:pPr>
        <w:ind w:left="1138" w:hanging="360"/>
      </w:pPr>
      <w:rPr>
        <w:rFonts w:ascii="Calibri" w:eastAsia="Times New Roman" w:hAnsi="Calibri"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4" w15:restartNumberingAfterBreak="0">
    <w:nsid w:val="388D315F"/>
    <w:multiLevelType w:val="hybridMultilevel"/>
    <w:tmpl w:val="7FC8B052"/>
    <w:lvl w:ilvl="0" w:tplc="A58A1686">
      <w:start w:val="1"/>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C217C56"/>
    <w:multiLevelType w:val="hybridMultilevel"/>
    <w:tmpl w:val="8422818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3FFF4C8B"/>
    <w:multiLevelType w:val="hybridMultilevel"/>
    <w:tmpl w:val="843A1238"/>
    <w:lvl w:ilvl="0" w:tplc="ABD8EB24">
      <w:start w:val="2"/>
      <w:numFmt w:val="bullet"/>
      <w:lvlText w:val="-"/>
      <w:lvlJc w:val="left"/>
      <w:pPr>
        <w:ind w:left="720" w:hanging="360"/>
      </w:pPr>
      <w:rPr>
        <w:rFonts w:ascii="Times" w:eastAsia="Times New Roman" w:hAnsi="Time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7F89"/>
    <w:multiLevelType w:val="multilevel"/>
    <w:tmpl w:val="1546887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4E11BF7"/>
    <w:multiLevelType w:val="hybridMultilevel"/>
    <w:tmpl w:val="25268FB4"/>
    <w:lvl w:ilvl="0" w:tplc="0426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56"/>
    <w:rsid w:val="00230EEF"/>
    <w:rsid w:val="00243A81"/>
    <w:rsid w:val="002455F6"/>
    <w:rsid w:val="002B658B"/>
    <w:rsid w:val="002B6659"/>
    <w:rsid w:val="007A39CC"/>
    <w:rsid w:val="007A7138"/>
    <w:rsid w:val="007F443D"/>
    <w:rsid w:val="008225F4"/>
    <w:rsid w:val="00916DFD"/>
    <w:rsid w:val="00934856"/>
    <w:rsid w:val="00A27A34"/>
    <w:rsid w:val="00A350DB"/>
    <w:rsid w:val="00D27BD7"/>
    <w:rsid w:val="00D66351"/>
    <w:rsid w:val="00F2370B"/>
    <w:rsid w:val="00F67938"/>
    <w:rsid w:val="00FE01A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2D1E"/>
  <w15:chartTrackingRefBased/>
  <w15:docId w15:val="{415866C6-C66A-0544-A2A2-D448243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List Paragraph11,Normal bullet 2,Bullet list,Saraksta rindkopa1,Saraksta rindkopa,Colorful List - Accent 12,List1,Akapit z listą BS,Numbered Para 1,Dot pt,List Paragraph Char Char Char,Bullet 1"/>
    <w:basedOn w:val="Normal"/>
    <w:link w:val="ListParagraphChar"/>
    <w:uiPriority w:val="34"/>
    <w:qFormat/>
    <w:rsid w:val="00934856"/>
    <w:pPr>
      <w:spacing w:after="160" w:line="259" w:lineRule="auto"/>
      <w:ind w:left="720"/>
      <w:contextualSpacing/>
    </w:pPr>
    <w:rPr>
      <w:rFonts w:eastAsia="Times New Roman" w:cs="Times New Roman"/>
      <w:sz w:val="22"/>
      <w:szCs w:val="22"/>
    </w:rPr>
  </w:style>
  <w:style w:type="character" w:styleId="Hyperlink">
    <w:name w:val="Hyperlink"/>
    <w:basedOn w:val="DefaultParagraphFont"/>
    <w:uiPriority w:val="99"/>
    <w:unhideWhenUsed/>
    <w:rsid w:val="00934856"/>
    <w:rPr>
      <w:rFonts w:cs="Times New Roman"/>
      <w:color w:val="0563C1" w:themeColor="hyperlink"/>
      <w:u w:val="single"/>
    </w:rPr>
  </w:style>
  <w:style w:type="table" w:styleId="TableGrid">
    <w:name w:val="Table Grid"/>
    <w:basedOn w:val="TableNormal"/>
    <w:uiPriority w:val="39"/>
    <w:rsid w:val="0093485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
    <w:basedOn w:val="Normal"/>
    <w:link w:val="FootnoteTextChar"/>
    <w:uiPriority w:val="99"/>
    <w:rsid w:val="00934856"/>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uiPriority w:val="99"/>
    <w:rsid w:val="00934856"/>
    <w:rPr>
      <w:rFonts w:ascii="Times New Roman" w:eastAsia="Times New Roman" w:hAnsi="Times New Roman" w:cs="Times New Roman"/>
      <w:sz w:val="20"/>
      <w:szCs w:val="20"/>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934856"/>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Saraksta rindkopa Char,Colorful List - Accent 12 Char,List1 Char,Numbered Para 1 Char"/>
    <w:link w:val="ListParagraph"/>
    <w:uiPriority w:val="34"/>
    <w:qFormat/>
    <w:locked/>
    <w:rsid w:val="00934856"/>
    <w:rPr>
      <w:rFonts w:eastAsia="Times New Roman" w:cs="Times New Roman"/>
      <w:sz w:val="22"/>
      <w:szCs w:val="22"/>
      <w:lang w:val="lv-LV"/>
    </w:rPr>
  </w:style>
  <w:style w:type="character" w:styleId="UnresolvedMention">
    <w:name w:val="Unresolved Mention"/>
    <w:basedOn w:val="DefaultParagraphFont"/>
    <w:uiPriority w:val="99"/>
    <w:semiHidden/>
    <w:unhideWhenUsed/>
    <w:rsid w:val="007F443D"/>
    <w:rPr>
      <w:color w:val="605E5C"/>
      <w:shd w:val="clear" w:color="auto" w:fill="E1DFDD"/>
    </w:rPr>
  </w:style>
  <w:style w:type="character" w:styleId="FollowedHyperlink">
    <w:name w:val="FollowedHyperlink"/>
    <w:basedOn w:val="DefaultParagraphFont"/>
    <w:uiPriority w:val="99"/>
    <w:semiHidden/>
    <w:unhideWhenUsed/>
    <w:rsid w:val="007F443D"/>
    <w:rPr>
      <w:color w:val="954F72" w:themeColor="followedHyperlink"/>
      <w:u w:val="single"/>
    </w:rPr>
  </w:style>
  <w:style w:type="character" w:styleId="CommentReference">
    <w:name w:val="annotation reference"/>
    <w:basedOn w:val="DefaultParagraphFont"/>
    <w:uiPriority w:val="99"/>
    <w:semiHidden/>
    <w:unhideWhenUsed/>
    <w:rsid w:val="007F443D"/>
    <w:rPr>
      <w:rFonts w:cs="Times New Roman"/>
      <w:sz w:val="16"/>
      <w:szCs w:val="16"/>
    </w:rPr>
  </w:style>
  <w:style w:type="paragraph" w:styleId="CommentText">
    <w:name w:val="annotation text"/>
    <w:basedOn w:val="Normal"/>
    <w:link w:val="CommentTextChar"/>
    <w:uiPriority w:val="99"/>
    <w:unhideWhenUsed/>
    <w:rsid w:val="007F443D"/>
    <w:rPr>
      <w:rFonts w:eastAsia="Times New Roman" w:cs="Times New Roman"/>
      <w:sz w:val="20"/>
      <w:szCs w:val="20"/>
    </w:rPr>
  </w:style>
  <w:style w:type="character" w:customStyle="1" w:styleId="CommentTextChar">
    <w:name w:val="Comment Text Char"/>
    <w:basedOn w:val="DefaultParagraphFont"/>
    <w:link w:val="CommentText"/>
    <w:uiPriority w:val="99"/>
    <w:rsid w:val="007F443D"/>
    <w:rPr>
      <w:rFonts w:eastAsia="Times New Roman" w:cs="Times New Roman"/>
      <w:sz w:val="20"/>
      <w:szCs w:val="20"/>
      <w:lang w:val="lv-LV"/>
    </w:rPr>
  </w:style>
  <w:style w:type="paragraph" w:styleId="BalloonText">
    <w:name w:val="Balloon Text"/>
    <w:basedOn w:val="Normal"/>
    <w:link w:val="BalloonTextChar"/>
    <w:uiPriority w:val="99"/>
    <w:semiHidden/>
    <w:unhideWhenUsed/>
    <w:rsid w:val="007F4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4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64294">
      <w:bodyDiv w:val="1"/>
      <w:marLeft w:val="0"/>
      <w:marRight w:val="0"/>
      <w:marTop w:val="0"/>
      <w:marBottom w:val="0"/>
      <w:divBdr>
        <w:top w:val="none" w:sz="0" w:space="0" w:color="auto"/>
        <w:left w:val="none" w:sz="0" w:space="0" w:color="auto"/>
        <w:bottom w:val="none" w:sz="0" w:space="0" w:color="auto"/>
        <w:right w:val="none" w:sz="0" w:space="0" w:color="auto"/>
      </w:divBdr>
    </w:div>
    <w:div w:id="938831758">
      <w:bodyDiv w:val="1"/>
      <w:marLeft w:val="0"/>
      <w:marRight w:val="0"/>
      <w:marTop w:val="0"/>
      <w:marBottom w:val="0"/>
      <w:divBdr>
        <w:top w:val="none" w:sz="0" w:space="0" w:color="auto"/>
        <w:left w:val="none" w:sz="0" w:space="0" w:color="auto"/>
        <w:bottom w:val="none" w:sz="0" w:space="0" w:color="auto"/>
        <w:right w:val="none" w:sz="0" w:space="0" w:color="auto"/>
      </w:divBdr>
    </w:div>
    <w:div w:id="991718899">
      <w:bodyDiv w:val="1"/>
      <w:marLeft w:val="0"/>
      <w:marRight w:val="0"/>
      <w:marTop w:val="0"/>
      <w:marBottom w:val="0"/>
      <w:divBdr>
        <w:top w:val="none" w:sz="0" w:space="0" w:color="auto"/>
        <w:left w:val="none" w:sz="0" w:space="0" w:color="auto"/>
        <w:bottom w:val="none" w:sz="0" w:space="0" w:color="auto"/>
        <w:right w:val="none" w:sz="0" w:space="0" w:color="auto"/>
      </w:divBdr>
    </w:div>
    <w:div w:id="13490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2-noteikumi-par-iepirkuma-proceduru-un-tas-piemerosanas-kartibu-pasutitaja-finansetiem-projekti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2111-darbibas-programmas-izaugsme-un-nodarbinatiba-3-1-1-nbspspecifiska-atbalsta-merka-sekmet-mazo-videjo-komersantu-izvei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ram.gov.lv/sites/varam/files/content/files/metodika_hp_ia_dp_prec_170518.pdf" TargetMode="External"/><Relationship Id="rId5" Type="http://schemas.openxmlformats.org/officeDocument/2006/relationships/footnotes" Target="footnotes.xml"/><Relationship Id="rId10" Type="http://schemas.openxmlformats.org/officeDocument/2006/relationships/hyperlink" Target="https://likumi.lv/ta/id/312111-darbibas-programmas-izaugsme-un-nodarbinatiba-3-1-1-nbspspecifiska-atbalsta-merka-sekmet-mazo-videjo-komersantu-izveidi" TargetMode="External"/><Relationship Id="rId4" Type="http://schemas.openxmlformats.org/officeDocument/2006/relationships/webSettings" Target="webSettings.xml"/><Relationship Id="rId9" Type="http://schemas.openxmlformats.org/officeDocument/2006/relationships/hyperlink" Target="https://eur-lex.europa.eu/legal-content/LV/TXT/?uri=CELEX%3A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7903</Words>
  <Characters>4506</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dc:description/>
  <cp:lastModifiedBy>Ieva Luste</cp:lastModifiedBy>
  <cp:revision>2</cp:revision>
  <dcterms:created xsi:type="dcterms:W3CDTF">2021-02-11T09:34:00Z</dcterms:created>
  <dcterms:modified xsi:type="dcterms:W3CDTF">2021-02-11T09:34:00Z</dcterms:modified>
</cp:coreProperties>
</file>