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9" w:type="dxa"/>
        <w:tblInd w:w="-255" w:type="dxa"/>
        <w:tblLook w:val="04A0" w:firstRow="1" w:lastRow="0" w:firstColumn="1" w:lastColumn="0" w:noHBand="0" w:noVBand="1"/>
      </w:tblPr>
      <w:tblGrid>
        <w:gridCol w:w="9639"/>
      </w:tblGrid>
      <w:tr w:rsidR="00934856" w:rsidRPr="00934856" w14:paraId="49B6ED26" w14:textId="77777777" w:rsidTr="00916DFD">
        <w:tc>
          <w:tcPr>
            <w:tcW w:w="9639" w:type="dxa"/>
            <w:shd w:val="clear" w:color="auto" w:fill="D9D9D9" w:themeFill="background1" w:themeFillShade="D9"/>
            <w:hideMark/>
          </w:tcPr>
          <w:p w14:paraId="08C6BA0A" w14:textId="77777777" w:rsidR="00934856" w:rsidRPr="00934856" w:rsidRDefault="00934856" w:rsidP="00D27BD7">
            <w:pPr>
              <w:spacing w:after="160" w:line="276" w:lineRule="auto"/>
              <w:jc w:val="center"/>
              <w:rPr>
                <w:rFonts w:ascii="Times New Roman" w:hAnsi="Times New Roman"/>
                <w:b/>
                <w:sz w:val="26"/>
                <w:szCs w:val="26"/>
              </w:rPr>
            </w:pPr>
            <w:r w:rsidRPr="00934856">
              <w:rPr>
                <w:rFonts w:ascii="Times New Roman" w:hAnsi="Times New Roman"/>
                <w:b/>
                <w:sz w:val="26"/>
                <w:szCs w:val="26"/>
              </w:rPr>
              <w:t>Atbildes uz saņemtajiem jautājumiem par</w:t>
            </w:r>
          </w:p>
          <w:p w14:paraId="4ADBCDF3" w14:textId="77777777" w:rsidR="00934856" w:rsidRPr="00934856" w:rsidRDefault="00934856" w:rsidP="00D27BD7">
            <w:pPr>
              <w:spacing w:after="160" w:line="276" w:lineRule="auto"/>
              <w:jc w:val="center"/>
              <w:rPr>
                <w:rFonts w:ascii="Times New Roman" w:hAnsi="Times New Roman"/>
                <w:b/>
                <w:sz w:val="26"/>
                <w:szCs w:val="26"/>
              </w:rPr>
            </w:pPr>
            <w:r w:rsidRPr="00934856">
              <w:rPr>
                <w:rFonts w:ascii="Times New Roman" w:hAnsi="Times New Roman"/>
                <w:b/>
                <w:sz w:val="26"/>
                <w:szCs w:val="26"/>
              </w:rPr>
              <w:t>darbības programmas “Izaugsme un nodarbinātība”</w:t>
            </w:r>
          </w:p>
          <w:p w14:paraId="6D78C595" w14:textId="1A83994B" w:rsidR="00934856" w:rsidRPr="00934856" w:rsidRDefault="00934856" w:rsidP="00D27BD7">
            <w:pPr>
              <w:spacing w:after="160" w:line="276" w:lineRule="auto"/>
              <w:jc w:val="center"/>
              <w:rPr>
                <w:rFonts w:ascii="Times New Roman" w:hAnsi="Times New Roman"/>
                <w:b/>
                <w:sz w:val="26"/>
                <w:szCs w:val="26"/>
              </w:rPr>
            </w:pPr>
            <w:r w:rsidRPr="00934856">
              <w:rPr>
                <w:rFonts w:ascii="Times New Roman" w:hAnsi="Times New Roman"/>
                <w:b/>
                <w:sz w:val="26"/>
                <w:szCs w:val="26"/>
              </w:rPr>
              <w:t>3.1.1.</w:t>
            </w:r>
            <w:r>
              <w:rPr>
                <w:rFonts w:ascii="Times New Roman" w:hAnsi="Times New Roman"/>
                <w:b/>
                <w:sz w:val="26"/>
                <w:szCs w:val="26"/>
              </w:rPr>
              <w:t> </w:t>
            </w:r>
            <w:r w:rsidRPr="00934856">
              <w:rPr>
                <w:rFonts w:ascii="Times New Roman" w:hAnsi="Times New Roman"/>
                <w:b/>
                <w:sz w:val="26"/>
                <w:szCs w:val="26"/>
              </w:rPr>
              <w:t>specifiskā atbalsta mērķa “Sekmēt mazo, vidējo komersantu izveidi un attīstību, īpaši apstrādes rūpniecībā un RIS3 prioritārajās nozarēs” 3.1.1.3.</w:t>
            </w:r>
            <w:r>
              <w:rPr>
                <w:rFonts w:ascii="Times New Roman" w:hAnsi="Times New Roman"/>
                <w:b/>
                <w:sz w:val="26"/>
                <w:szCs w:val="26"/>
              </w:rPr>
              <w:t> </w:t>
            </w:r>
            <w:r w:rsidRPr="00934856">
              <w:rPr>
                <w:rFonts w:ascii="Times New Roman" w:hAnsi="Times New Roman"/>
                <w:b/>
                <w:sz w:val="26"/>
                <w:szCs w:val="26"/>
              </w:rPr>
              <w:t>pasākuma “Atbalsts mazo, vidējo komersantu finansējuma piesaistei kapitāla tirgos”</w:t>
            </w:r>
          </w:p>
          <w:p w14:paraId="4D40CAF5" w14:textId="3C4A3116" w:rsidR="00934856" w:rsidRPr="00934856" w:rsidRDefault="004E7130" w:rsidP="00D27BD7">
            <w:pPr>
              <w:spacing w:after="160" w:line="276" w:lineRule="auto"/>
              <w:jc w:val="center"/>
              <w:rPr>
                <w:rFonts w:ascii="Times New Roman" w:hAnsi="Times New Roman"/>
                <w:b/>
                <w:sz w:val="26"/>
                <w:szCs w:val="26"/>
              </w:rPr>
            </w:pPr>
            <w:r>
              <w:rPr>
                <w:rFonts w:ascii="Times New Roman" w:hAnsi="Times New Roman"/>
                <w:b/>
                <w:sz w:val="26"/>
                <w:szCs w:val="26"/>
              </w:rPr>
              <w:t>trešās</w:t>
            </w:r>
            <w:r w:rsidR="00934856">
              <w:rPr>
                <w:rFonts w:ascii="Times New Roman" w:hAnsi="Times New Roman"/>
                <w:b/>
                <w:sz w:val="26"/>
                <w:szCs w:val="26"/>
              </w:rPr>
              <w:t xml:space="preserve"> </w:t>
            </w:r>
            <w:r w:rsidR="00934856" w:rsidRPr="00934856">
              <w:rPr>
                <w:rFonts w:ascii="Times New Roman" w:hAnsi="Times New Roman"/>
                <w:b/>
                <w:sz w:val="26"/>
                <w:szCs w:val="26"/>
              </w:rPr>
              <w:t>projektu iesniegumu atlases kārtas nosacījumiem</w:t>
            </w:r>
          </w:p>
        </w:tc>
      </w:tr>
      <w:tr w:rsidR="00934856" w:rsidRPr="00934856" w14:paraId="2D3AEBF5" w14:textId="77777777" w:rsidTr="00916DFD">
        <w:tc>
          <w:tcPr>
            <w:tcW w:w="9639" w:type="dxa"/>
          </w:tcPr>
          <w:p w14:paraId="720340C6" w14:textId="495D3A45" w:rsidR="00934856" w:rsidRPr="00934856" w:rsidRDefault="00934856" w:rsidP="00D27BD7">
            <w:pPr>
              <w:spacing w:after="160" w:line="276" w:lineRule="auto"/>
              <w:jc w:val="both"/>
              <w:rPr>
                <w:rFonts w:ascii="Times New Roman" w:hAnsi="Times New Roman"/>
                <w:sz w:val="24"/>
                <w:szCs w:val="24"/>
              </w:rPr>
            </w:pPr>
            <w:r w:rsidRPr="00934856">
              <w:rPr>
                <w:rFonts w:ascii="Times New Roman" w:hAnsi="Times New Roman"/>
                <w:sz w:val="24"/>
                <w:szCs w:val="24"/>
              </w:rPr>
              <w:t>Saīsinājumi un apzīmējumi:</w:t>
            </w:r>
          </w:p>
          <w:p w14:paraId="01D8EA6A" w14:textId="55A1F58F" w:rsidR="00934856" w:rsidRPr="00934856" w:rsidRDefault="00934856" w:rsidP="00D27BD7">
            <w:pPr>
              <w:spacing w:after="160" w:line="276" w:lineRule="auto"/>
              <w:jc w:val="both"/>
              <w:rPr>
                <w:rFonts w:ascii="Times New Roman" w:hAnsi="Times New Roman"/>
                <w:bCs/>
                <w:sz w:val="24"/>
                <w:szCs w:val="24"/>
                <w:shd w:val="clear" w:color="auto" w:fill="FFFFFF"/>
              </w:rPr>
            </w:pPr>
            <w:r w:rsidRPr="00934856">
              <w:rPr>
                <w:rFonts w:ascii="Times New Roman" w:hAnsi="Times New Roman"/>
                <w:sz w:val="24"/>
                <w:szCs w:val="24"/>
              </w:rPr>
              <w:t xml:space="preserve">Atlases nolikums – </w:t>
            </w:r>
            <w:r w:rsidRPr="00934856">
              <w:rPr>
                <w:rFonts w:ascii="Times New Roman" w:hAnsi="Times New Roman"/>
                <w:bCs/>
                <w:sz w:val="24"/>
                <w:szCs w:val="24"/>
                <w:shd w:val="clear" w:color="auto" w:fill="FFFFFF"/>
              </w:rPr>
              <w:t xml:space="preserve">darbības programmas “Izaugsme un nodarbinātība” 3.1.1. specifiskā atbalsta mērķa “Sekmēt mazo, vidējo komersantu izveidi un attīstību, īpaši apstrādes rūpniecībā un RIS3 prioritārajās nozarēs” 3.1.1.3. pasākuma “Atbalsts mazo, vidējo komersantu finansējuma piesaistei kapitāla tirgos” </w:t>
            </w:r>
            <w:r w:rsidR="004E7130">
              <w:rPr>
                <w:rFonts w:ascii="Times New Roman" w:hAnsi="Times New Roman"/>
                <w:bCs/>
                <w:sz w:val="24"/>
                <w:szCs w:val="24"/>
                <w:shd w:val="clear" w:color="auto" w:fill="FFFFFF"/>
              </w:rPr>
              <w:t>trešās</w:t>
            </w:r>
            <w:r w:rsidRPr="00934856">
              <w:rPr>
                <w:rFonts w:ascii="Times New Roman" w:hAnsi="Times New Roman"/>
                <w:bCs/>
                <w:sz w:val="24"/>
                <w:szCs w:val="24"/>
                <w:shd w:val="clear" w:color="auto" w:fill="FFFFFF"/>
              </w:rPr>
              <w:t xml:space="preserve"> projektu iesniegumu atlases kārtas nolikums;</w:t>
            </w:r>
          </w:p>
          <w:p w14:paraId="5E858A16" w14:textId="5B15AB93" w:rsidR="00934856" w:rsidRDefault="00934856" w:rsidP="00D27BD7">
            <w:pPr>
              <w:spacing w:after="160" w:line="276" w:lineRule="auto"/>
              <w:jc w:val="both"/>
              <w:rPr>
                <w:rFonts w:ascii="Times New Roman" w:hAnsi="Times New Roman"/>
                <w:sz w:val="24"/>
                <w:szCs w:val="24"/>
              </w:rPr>
            </w:pPr>
            <w:r w:rsidRPr="00934856">
              <w:rPr>
                <w:rFonts w:ascii="Times New Roman" w:hAnsi="Times New Roman"/>
                <w:sz w:val="24"/>
                <w:szCs w:val="24"/>
              </w:rPr>
              <w:t>ERAF – Eiropas Reģionālās attīstības fonds;</w:t>
            </w:r>
          </w:p>
          <w:p w14:paraId="69642029" w14:textId="0E9BE676" w:rsidR="00AF5174" w:rsidRPr="00934856" w:rsidRDefault="00AF5174" w:rsidP="00D27BD7">
            <w:pPr>
              <w:spacing w:after="160" w:line="276" w:lineRule="auto"/>
              <w:jc w:val="both"/>
              <w:rPr>
                <w:rFonts w:ascii="Times New Roman" w:hAnsi="Times New Roman"/>
                <w:sz w:val="24"/>
                <w:szCs w:val="24"/>
              </w:rPr>
            </w:pPr>
            <w:r>
              <w:rPr>
                <w:rFonts w:ascii="Times New Roman" w:hAnsi="Times New Roman"/>
                <w:sz w:val="24"/>
                <w:szCs w:val="24"/>
              </w:rPr>
              <w:t>CFLA – Centrālā finanšu un līgumu aģentūra;</w:t>
            </w:r>
          </w:p>
          <w:p w14:paraId="440F4AAE" w14:textId="493BA087" w:rsidR="00934856" w:rsidRPr="00934856" w:rsidRDefault="00934856" w:rsidP="00D27BD7">
            <w:pPr>
              <w:spacing w:after="160" w:line="276" w:lineRule="auto"/>
              <w:jc w:val="both"/>
              <w:rPr>
                <w:rFonts w:ascii="Times New Roman" w:hAnsi="Times New Roman"/>
                <w:sz w:val="24"/>
                <w:szCs w:val="24"/>
              </w:rPr>
            </w:pPr>
            <w:r w:rsidRPr="00934856">
              <w:rPr>
                <w:rFonts w:ascii="Times New Roman" w:hAnsi="Times New Roman"/>
                <w:sz w:val="24"/>
                <w:szCs w:val="24"/>
              </w:rPr>
              <w:t>MK</w:t>
            </w:r>
            <w:r w:rsidR="00A350DB">
              <w:rPr>
                <w:rFonts w:ascii="Times New Roman" w:hAnsi="Times New Roman"/>
                <w:sz w:val="24"/>
                <w:szCs w:val="24"/>
              </w:rPr>
              <w:t> </w:t>
            </w:r>
            <w:r w:rsidRPr="00934856">
              <w:rPr>
                <w:rFonts w:ascii="Times New Roman" w:hAnsi="Times New Roman"/>
                <w:sz w:val="24"/>
                <w:szCs w:val="24"/>
              </w:rPr>
              <w:t>noteikumi</w:t>
            </w:r>
            <w:r>
              <w:rPr>
                <w:rFonts w:ascii="Times New Roman" w:hAnsi="Times New Roman"/>
                <w:sz w:val="24"/>
                <w:szCs w:val="24"/>
              </w:rPr>
              <w:t> </w:t>
            </w:r>
            <w:r w:rsidRPr="00934856">
              <w:rPr>
                <w:rFonts w:ascii="Times New Roman" w:hAnsi="Times New Roman"/>
                <w:sz w:val="24"/>
                <w:szCs w:val="24"/>
              </w:rPr>
              <w:t xml:space="preserve">– </w:t>
            </w:r>
            <w:hyperlink r:id="rId7" w:history="1">
              <w:r w:rsidRPr="00243A81">
                <w:rPr>
                  <w:rStyle w:val="Hyperlink"/>
                  <w:rFonts w:ascii="Times New Roman" w:hAnsi="Times New Roman"/>
                  <w:sz w:val="24"/>
                  <w:szCs w:val="24"/>
                </w:rPr>
                <w:t xml:space="preserve">Ministru kabineta 2020. gada 21. janvāra noteikumi Nr. 35 “Darbības programmas “Izaugsme un nodarbinātība” </w:t>
              </w:r>
              <w:r w:rsidRPr="00243A81">
                <w:rPr>
                  <w:rStyle w:val="Hyperlink"/>
                  <w:rFonts w:ascii="Times New Roman" w:hAnsi="Times New Roman"/>
                  <w:bCs/>
                  <w:sz w:val="24"/>
                  <w:szCs w:val="24"/>
                  <w:shd w:val="clear" w:color="auto" w:fill="FFFFFF"/>
                </w:rPr>
                <w:t xml:space="preserve">3.1.1. specifiskā atbalsta mērķa “Sekmēt mazo, vidējo komersantu izveidi un attīstību, īpaši apstrādes rūpniecībā un RIS3 prioritārajās nozarēs” 3.1.1.3. pasākuma “Atbalsts mazo, vidējo komersantu finansējuma piesaistei kapitāla tirgos” </w:t>
              </w:r>
              <w:r w:rsidRPr="00243A81">
                <w:rPr>
                  <w:rStyle w:val="Hyperlink"/>
                  <w:rFonts w:ascii="Times New Roman" w:hAnsi="Times New Roman"/>
                  <w:sz w:val="24"/>
                  <w:szCs w:val="24"/>
                </w:rPr>
                <w:t>īstenošanas noteikumi”</w:t>
              </w:r>
            </w:hyperlink>
            <w:r w:rsidRPr="00934856">
              <w:rPr>
                <w:rFonts w:ascii="Times New Roman" w:hAnsi="Times New Roman"/>
                <w:sz w:val="24"/>
                <w:szCs w:val="24"/>
              </w:rPr>
              <w:t>;</w:t>
            </w:r>
          </w:p>
          <w:p w14:paraId="5B3A5108" w14:textId="05D024DB" w:rsidR="00934856" w:rsidRDefault="00934856" w:rsidP="00D27BD7">
            <w:pPr>
              <w:spacing w:after="160" w:line="276" w:lineRule="auto"/>
              <w:jc w:val="both"/>
              <w:rPr>
                <w:rFonts w:ascii="Times New Roman" w:hAnsi="Times New Roman"/>
                <w:sz w:val="24"/>
                <w:szCs w:val="24"/>
              </w:rPr>
            </w:pPr>
            <w:r w:rsidRPr="00934856">
              <w:rPr>
                <w:rFonts w:ascii="Times New Roman" w:hAnsi="Times New Roman"/>
                <w:sz w:val="24"/>
                <w:szCs w:val="24"/>
              </w:rPr>
              <w:t>SAMP</w:t>
            </w:r>
            <w:r w:rsidR="00A350DB">
              <w:rPr>
                <w:rFonts w:ascii="Times New Roman" w:hAnsi="Times New Roman"/>
                <w:sz w:val="24"/>
                <w:szCs w:val="24"/>
              </w:rPr>
              <w:t> </w:t>
            </w:r>
            <w:r w:rsidRPr="00934856">
              <w:rPr>
                <w:rFonts w:ascii="Times New Roman" w:hAnsi="Times New Roman"/>
                <w:sz w:val="24"/>
                <w:szCs w:val="24"/>
              </w:rPr>
              <w:t xml:space="preserve">3.1.1.3. – darbības programmas “Izaugsme un nodarbinātība” </w:t>
            </w:r>
            <w:r w:rsidRPr="00934856">
              <w:rPr>
                <w:rFonts w:ascii="Times New Roman" w:hAnsi="Times New Roman"/>
                <w:bCs/>
                <w:sz w:val="24"/>
                <w:szCs w:val="24"/>
                <w:shd w:val="clear" w:color="auto" w:fill="FFFFFF"/>
              </w:rPr>
              <w:t>3.1.1. specifiskā atbalsta mērķa “Sekmēt mazo, vidējo komersantu izveidi un attīstību, īpaši apstrādes rūpniecībā un RIS3 prioritārajās nozarēs” 3.1.1.3. pasākums “Atbalsts mazo, vidējo komersantu finansējuma piesaistei kapitāla tirgos”</w:t>
            </w:r>
            <w:r w:rsidR="00BD68E3">
              <w:rPr>
                <w:rFonts w:ascii="Times New Roman" w:hAnsi="Times New Roman"/>
                <w:bCs/>
                <w:sz w:val="24"/>
                <w:szCs w:val="24"/>
                <w:shd w:val="clear" w:color="auto" w:fill="FFFFFF"/>
              </w:rPr>
              <w:t>;</w:t>
            </w:r>
          </w:p>
          <w:p w14:paraId="3760E9C4" w14:textId="7B540A74" w:rsidR="0037622A" w:rsidRDefault="0037622A" w:rsidP="00D27BD7">
            <w:pPr>
              <w:spacing w:after="160" w:line="276" w:lineRule="auto"/>
              <w:jc w:val="both"/>
              <w:rPr>
                <w:rFonts w:ascii="Times New Roman" w:hAnsi="Times New Roman"/>
                <w:sz w:val="24"/>
                <w:szCs w:val="24"/>
                <w:lang w:eastAsia="lv-LV"/>
              </w:rPr>
            </w:pPr>
            <w:r w:rsidRPr="004E7130">
              <w:rPr>
                <w:rFonts w:ascii="Times New Roman" w:hAnsi="Times New Roman"/>
                <w:sz w:val="24"/>
                <w:szCs w:val="24"/>
                <w:lang w:eastAsia="lv-LV"/>
              </w:rPr>
              <w:t xml:space="preserve">Komisijas </w:t>
            </w:r>
            <w:r w:rsidR="00BD68E3">
              <w:rPr>
                <w:rFonts w:ascii="Times New Roman" w:hAnsi="Times New Roman"/>
                <w:sz w:val="24"/>
                <w:szCs w:val="24"/>
                <w:lang w:eastAsia="lv-LV"/>
              </w:rPr>
              <w:t>R</w:t>
            </w:r>
            <w:r w:rsidRPr="004E7130">
              <w:rPr>
                <w:rFonts w:ascii="Times New Roman" w:hAnsi="Times New Roman"/>
                <w:sz w:val="24"/>
                <w:szCs w:val="24"/>
                <w:lang w:eastAsia="lv-LV"/>
              </w:rPr>
              <w:t>egula Nr.</w:t>
            </w:r>
            <w:r>
              <w:rPr>
                <w:rFonts w:ascii="Times New Roman" w:hAnsi="Times New Roman"/>
                <w:sz w:val="24"/>
                <w:szCs w:val="24"/>
                <w:lang w:eastAsia="lv-LV"/>
              </w:rPr>
              <w:t> </w:t>
            </w:r>
            <w:r w:rsidRPr="004E7130">
              <w:rPr>
                <w:rFonts w:ascii="Times New Roman" w:hAnsi="Times New Roman"/>
                <w:sz w:val="24"/>
                <w:szCs w:val="24"/>
                <w:lang w:eastAsia="lv-LV"/>
              </w:rPr>
              <w:t>651/</w:t>
            </w:r>
            <w:r>
              <w:rPr>
                <w:rFonts w:ascii="Times New Roman" w:hAnsi="Times New Roman"/>
                <w:sz w:val="24"/>
                <w:szCs w:val="24"/>
                <w:lang w:eastAsia="lv-LV"/>
              </w:rPr>
              <w:t xml:space="preserve">2014 </w:t>
            </w:r>
            <w:r w:rsidR="00BD68E3">
              <w:rPr>
                <w:rFonts w:ascii="Times New Roman" w:hAnsi="Times New Roman"/>
                <w:sz w:val="24"/>
                <w:szCs w:val="24"/>
                <w:lang w:eastAsia="lv-LV"/>
              </w:rPr>
              <w:t xml:space="preserve">– </w:t>
            </w:r>
            <w:hyperlink r:id="rId8" w:history="1">
              <w:r w:rsidR="00BD68E3" w:rsidRPr="00BD68E3">
                <w:rPr>
                  <w:rStyle w:val="Hyperlink"/>
                  <w:rFonts w:ascii="Times New Roman" w:hAnsi="Times New Roman"/>
                  <w:sz w:val="24"/>
                  <w:szCs w:val="24"/>
                  <w:lang w:eastAsia="lv-LV"/>
                </w:rPr>
                <w:t>Komisijas Regula (ES) Nr. 651/2014 (2014. gada 17. jūnijs ), ar ko noteiktas atbalsta kategorijas atzīst par saderīgām ar iekšējo tirgu, piemērojot Līguma 107. un 108. pantu</w:t>
              </w:r>
            </w:hyperlink>
            <w:r w:rsidR="00BD68E3">
              <w:rPr>
                <w:rFonts w:ascii="Times New Roman" w:hAnsi="Times New Roman"/>
                <w:sz w:val="24"/>
                <w:szCs w:val="24"/>
                <w:lang w:eastAsia="lv-LV"/>
              </w:rPr>
              <w:t>;</w:t>
            </w:r>
          </w:p>
          <w:p w14:paraId="19B0C324" w14:textId="1F4E4A92" w:rsidR="00BD68E3" w:rsidRPr="00934856" w:rsidRDefault="00C83FA7" w:rsidP="00D27BD7">
            <w:pPr>
              <w:spacing w:after="160" w:line="276" w:lineRule="auto"/>
              <w:jc w:val="both"/>
              <w:rPr>
                <w:rFonts w:ascii="Times New Roman" w:hAnsi="Times New Roman"/>
                <w:sz w:val="24"/>
                <w:szCs w:val="24"/>
                <w:highlight w:val="yellow"/>
              </w:rPr>
            </w:pPr>
            <w:r>
              <w:rPr>
                <w:rFonts w:ascii="Times New Roman" w:hAnsi="Times New Roman"/>
                <w:sz w:val="24"/>
                <w:szCs w:val="24"/>
              </w:rPr>
              <w:t xml:space="preserve">Komisijas Regula Nr. 1407/2013 – </w:t>
            </w:r>
            <w:hyperlink r:id="rId9" w:history="1">
              <w:r w:rsidR="00BD68E3" w:rsidRPr="00C83FA7">
                <w:rPr>
                  <w:rStyle w:val="Hyperlink"/>
                  <w:rFonts w:ascii="Times New Roman" w:hAnsi="Times New Roman"/>
                  <w:sz w:val="24"/>
                  <w:szCs w:val="24"/>
                </w:rPr>
                <w:t>Komisijas Regula (ES) Nr.</w:t>
              </w:r>
              <w:r>
                <w:rPr>
                  <w:rStyle w:val="Hyperlink"/>
                  <w:rFonts w:ascii="Times New Roman" w:hAnsi="Times New Roman"/>
                  <w:sz w:val="24"/>
                  <w:szCs w:val="24"/>
                </w:rPr>
                <w:t> </w:t>
              </w:r>
              <w:r w:rsidR="00BD68E3" w:rsidRPr="00C83FA7">
                <w:rPr>
                  <w:rStyle w:val="Hyperlink"/>
                  <w:rFonts w:ascii="Times New Roman" w:hAnsi="Times New Roman"/>
                  <w:sz w:val="24"/>
                  <w:szCs w:val="24"/>
                </w:rPr>
                <w:t>1407/2013 (2013.</w:t>
              </w:r>
              <w:r>
                <w:rPr>
                  <w:rStyle w:val="Hyperlink"/>
                  <w:rFonts w:ascii="Times New Roman" w:hAnsi="Times New Roman"/>
                  <w:sz w:val="24"/>
                  <w:szCs w:val="24"/>
                </w:rPr>
                <w:t> </w:t>
              </w:r>
              <w:r w:rsidR="00BD68E3" w:rsidRPr="00C83FA7">
                <w:rPr>
                  <w:rStyle w:val="Hyperlink"/>
                  <w:rFonts w:ascii="Times New Roman" w:hAnsi="Times New Roman"/>
                  <w:sz w:val="24"/>
                  <w:szCs w:val="24"/>
                </w:rPr>
                <w:t>gada 18.</w:t>
              </w:r>
              <w:r>
                <w:rPr>
                  <w:rStyle w:val="Hyperlink"/>
                  <w:rFonts w:ascii="Times New Roman" w:hAnsi="Times New Roman"/>
                  <w:sz w:val="24"/>
                  <w:szCs w:val="24"/>
                </w:rPr>
                <w:t> </w:t>
              </w:r>
              <w:r w:rsidR="00BD68E3" w:rsidRPr="00C83FA7">
                <w:rPr>
                  <w:rStyle w:val="Hyperlink"/>
                  <w:rFonts w:ascii="Times New Roman" w:hAnsi="Times New Roman"/>
                  <w:sz w:val="24"/>
                  <w:szCs w:val="24"/>
                </w:rPr>
                <w:t>decembris ) par Līguma par Eiropas Savienības darbību 107. un 108.</w:t>
              </w:r>
              <w:r>
                <w:rPr>
                  <w:rStyle w:val="Hyperlink"/>
                  <w:rFonts w:ascii="Times New Roman" w:hAnsi="Times New Roman"/>
                  <w:sz w:val="24"/>
                  <w:szCs w:val="24"/>
                </w:rPr>
                <w:t> </w:t>
              </w:r>
              <w:r w:rsidR="00BD68E3" w:rsidRPr="00C83FA7">
                <w:rPr>
                  <w:rStyle w:val="Hyperlink"/>
                  <w:rFonts w:ascii="Times New Roman" w:hAnsi="Times New Roman"/>
                  <w:sz w:val="24"/>
                  <w:szCs w:val="24"/>
                </w:rPr>
                <w:t xml:space="preserve">panta piemērošanu </w:t>
              </w:r>
              <w:proofErr w:type="spellStart"/>
              <w:r w:rsidR="00BD68E3" w:rsidRPr="00C83FA7">
                <w:rPr>
                  <w:rStyle w:val="Hyperlink"/>
                  <w:rFonts w:ascii="Times New Roman" w:hAnsi="Times New Roman"/>
                  <w:i/>
                  <w:iCs/>
                  <w:sz w:val="24"/>
                  <w:szCs w:val="24"/>
                </w:rPr>
                <w:t>de</w:t>
              </w:r>
              <w:proofErr w:type="spellEnd"/>
              <w:r w:rsidR="00BD68E3" w:rsidRPr="00C83FA7">
                <w:rPr>
                  <w:rStyle w:val="Hyperlink"/>
                  <w:rFonts w:ascii="Times New Roman" w:hAnsi="Times New Roman"/>
                  <w:i/>
                  <w:iCs/>
                  <w:sz w:val="24"/>
                  <w:szCs w:val="24"/>
                </w:rPr>
                <w:t> </w:t>
              </w:r>
              <w:proofErr w:type="spellStart"/>
              <w:r w:rsidR="00BD68E3" w:rsidRPr="00C83FA7">
                <w:rPr>
                  <w:rStyle w:val="Hyperlink"/>
                  <w:rFonts w:ascii="Times New Roman" w:hAnsi="Times New Roman"/>
                  <w:i/>
                  <w:iCs/>
                  <w:sz w:val="24"/>
                  <w:szCs w:val="24"/>
                </w:rPr>
                <w:t>minimis</w:t>
              </w:r>
              <w:proofErr w:type="spellEnd"/>
              <w:r w:rsidR="00BD68E3" w:rsidRPr="00C83FA7">
                <w:rPr>
                  <w:rStyle w:val="Hyperlink"/>
                  <w:rFonts w:ascii="Times New Roman" w:hAnsi="Times New Roman"/>
                  <w:sz w:val="24"/>
                  <w:szCs w:val="24"/>
                </w:rPr>
                <w:t xml:space="preserve"> atbalstam</w:t>
              </w:r>
            </w:hyperlink>
            <w:r w:rsidR="00BD68E3">
              <w:rPr>
                <w:rFonts w:ascii="Times New Roman" w:hAnsi="Times New Roman"/>
                <w:sz w:val="24"/>
                <w:szCs w:val="24"/>
              </w:rPr>
              <w:t>.</w:t>
            </w:r>
          </w:p>
        </w:tc>
      </w:tr>
      <w:tr w:rsidR="00934856" w:rsidRPr="00934856" w14:paraId="0E6BA1EB" w14:textId="77777777" w:rsidTr="00916DFD">
        <w:tc>
          <w:tcPr>
            <w:tcW w:w="9639" w:type="dxa"/>
            <w:shd w:val="clear" w:color="auto" w:fill="D9D9D9" w:themeFill="background1" w:themeFillShade="D9"/>
          </w:tcPr>
          <w:p w14:paraId="487AF277" w14:textId="57194AD9" w:rsidR="00934856" w:rsidRPr="00934856" w:rsidRDefault="00934856" w:rsidP="00C83FA7">
            <w:pPr>
              <w:spacing w:after="160" w:line="276" w:lineRule="auto"/>
              <w:jc w:val="both"/>
              <w:rPr>
                <w:rFonts w:ascii="Times New Roman" w:hAnsi="Times New Roman"/>
                <w:sz w:val="24"/>
                <w:szCs w:val="24"/>
                <w:lang w:eastAsia="lv-LV"/>
              </w:rPr>
            </w:pPr>
            <w:r w:rsidRPr="00934856">
              <w:rPr>
                <w:rFonts w:ascii="Times New Roman" w:hAnsi="Times New Roman"/>
                <w:sz w:val="24"/>
                <w:szCs w:val="24"/>
                <w:lang w:eastAsia="lv-LV"/>
              </w:rPr>
              <w:t>1.</w:t>
            </w:r>
            <w:r w:rsidRPr="007F443D">
              <w:rPr>
                <w:rFonts w:ascii="Times New Roman" w:hAnsi="Times New Roman"/>
                <w:sz w:val="24"/>
                <w:szCs w:val="24"/>
                <w:lang w:eastAsia="lv-LV"/>
              </w:rPr>
              <w:t> </w:t>
            </w:r>
            <w:r w:rsidRPr="00934856">
              <w:rPr>
                <w:rFonts w:ascii="Times New Roman" w:hAnsi="Times New Roman"/>
                <w:sz w:val="24"/>
                <w:szCs w:val="24"/>
                <w:lang w:eastAsia="lv-LV"/>
              </w:rPr>
              <w:t>jautājums:</w:t>
            </w:r>
          </w:p>
          <w:p w14:paraId="3F35CFA4" w14:textId="1B7B20C0" w:rsidR="00934856" w:rsidRPr="00934856" w:rsidRDefault="004E7130" w:rsidP="00D27BD7">
            <w:pPr>
              <w:spacing w:line="276" w:lineRule="auto"/>
              <w:jc w:val="both"/>
              <w:rPr>
                <w:rFonts w:ascii="Times" w:hAnsi="Times"/>
                <w:sz w:val="24"/>
                <w:szCs w:val="24"/>
              </w:rPr>
            </w:pPr>
            <w:r>
              <w:rPr>
                <w:rFonts w:ascii="Times" w:hAnsi="Times"/>
                <w:sz w:val="24"/>
                <w:szCs w:val="24"/>
              </w:rPr>
              <w:t>V</w:t>
            </w:r>
            <w:r w:rsidRPr="004E7130">
              <w:rPr>
                <w:rFonts w:ascii="Times" w:hAnsi="Times"/>
                <w:sz w:val="24"/>
                <w:szCs w:val="24"/>
              </w:rPr>
              <w:t>ai šajā programmā var piedalīties arī citās ES valstīs dibināti uzņēmumi? Piemēram</w:t>
            </w:r>
            <w:r>
              <w:rPr>
                <w:rFonts w:ascii="Times" w:hAnsi="Times"/>
                <w:sz w:val="24"/>
                <w:szCs w:val="24"/>
              </w:rPr>
              <w:t>,</w:t>
            </w:r>
            <w:r w:rsidRPr="004E7130">
              <w:rPr>
                <w:rFonts w:ascii="Times" w:hAnsi="Times"/>
                <w:sz w:val="24"/>
                <w:szCs w:val="24"/>
              </w:rPr>
              <w:t xml:space="preserve"> tādi, kuru mātes sabiedrība 100% apmērā ir reģistrēta Latvijā</w:t>
            </w:r>
          </w:p>
        </w:tc>
      </w:tr>
      <w:tr w:rsidR="00934856" w:rsidRPr="00934856" w14:paraId="1C855D33" w14:textId="77777777" w:rsidTr="00916DFD">
        <w:tc>
          <w:tcPr>
            <w:tcW w:w="9639" w:type="dxa"/>
          </w:tcPr>
          <w:p w14:paraId="5812408A" w14:textId="77777777" w:rsidR="00934856" w:rsidRPr="00934856" w:rsidRDefault="00934856" w:rsidP="00D27BD7">
            <w:pPr>
              <w:spacing w:after="160" w:line="276" w:lineRule="auto"/>
              <w:jc w:val="both"/>
              <w:rPr>
                <w:rFonts w:ascii="Times New Roman" w:hAnsi="Times New Roman"/>
                <w:sz w:val="24"/>
                <w:szCs w:val="24"/>
                <w:lang w:eastAsia="lv-LV"/>
              </w:rPr>
            </w:pPr>
            <w:r w:rsidRPr="00934856">
              <w:rPr>
                <w:rFonts w:ascii="Times New Roman" w:hAnsi="Times New Roman"/>
                <w:sz w:val="24"/>
                <w:szCs w:val="24"/>
                <w:lang w:eastAsia="lv-LV"/>
              </w:rPr>
              <w:t>Atbilde uz 1. jautājumu:</w:t>
            </w:r>
          </w:p>
          <w:p w14:paraId="27019B83" w14:textId="2862495C" w:rsidR="004E7130" w:rsidRPr="00BD68E3" w:rsidRDefault="004E7130" w:rsidP="00BD68E3">
            <w:pPr>
              <w:spacing w:line="276" w:lineRule="auto"/>
              <w:jc w:val="both"/>
              <w:rPr>
                <w:rFonts w:ascii="Times New Roman" w:hAnsi="Times New Roman"/>
                <w:sz w:val="24"/>
                <w:szCs w:val="24"/>
                <w:lang w:eastAsia="lv-LV"/>
              </w:rPr>
            </w:pPr>
            <w:r w:rsidRPr="00BD68E3">
              <w:rPr>
                <w:rFonts w:ascii="Times New Roman" w:hAnsi="Times New Roman"/>
                <w:sz w:val="24"/>
                <w:szCs w:val="24"/>
                <w:lang w:eastAsia="lv-LV"/>
              </w:rPr>
              <w:t>MK noteikumu 13. punkts noteic, ka projekta iesniedzējs ir Latvijas Republikas komercreģistrā reģistrēts komersants, tādēļ citās Eiropas Savienības dalībvalstīs dibināti uzņēmumi uz atbalstu SAMP 3.1.1.3. ietvaros pretendēt nevar.</w:t>
            </w:r>
          </w:p>
          <w:p w14:paraId="032E2671" w14:textId="21FAEA42" w:rsidR="00F2370B" w:rsidRPr="00F2370B" w:rsidRDefault="00F2370B" w:rsidP="004E7130">
            <w:pPr>
              <w:spacing w:line="276" w:lineRule="auto"/>
              <w:jc w:val="both"/>
              <w:rPr>
                <w:rFonts w:ascii="Times New Roman" w:hAnsi="Times New Roman"/>
                <w:sz w:val="24"/>
                <w:szCs w:val="24"/>
                <w:lang w:eastAsia="lv-LV"/>
              </w:rPr>
            </w:pPr>
          </w:p>
        </w:tc>
      </w:tr>
      <w:tr w:rsidR="00934856" w:rsidRPr="00934856" w14:paraId="26436D26" w14:textId="77777777" w:rsidTr="00916DFD">
        <w:tc>
          <w:tcPr>
            <w:tcW w:w="9639" w:type="dxa"/>
            <w:shd w:val="clear" w:color="auto" w:fill="DBDBDB" w:themeFill="accent3" w:themeFillTint="66"/>
          </w:tcPr>
          <w:p w14:paraId="2B70A3B4" w14:textId="145FCBAF" w:rsidR="004E7130" w:rsidRPr="00934856" w:rsidRDefault="00934856" w:rsidP="00C83FA7">
            <w:pPr>
              <w:spacing w:after="160" w:line="276" w:lineRule="auto"/>
              <w:jc w:val="both"/>
              <w:rPr>
                <w:rFonts w:ascii="Times New Roman" w:hAnsi="Times New Roman"/>
                <w:sz w:val="24"/>
                <w:szCs w:val="24"/>
                <w:lang w:eastAsia="lv-LV"/>
              </w:rPr>
            </w:pPr>
            <w:r w:rsidRPr="00934856">
              <w:rPr>
                <w:rFonts w:ascii="Times New Roman" w:hAnsi="Times New Roman"/>
                <w:sz w:val="24"/>
                <w:szCs w:val="24"/>
                <w:lang w:eastAsia="lv-LV"/>
              </w:rPr>
              <w:lastRenderedPageBreak/>
              <w:t>2. jautājums:</w:t>
            </w:r>
          </w:p>
          <w:p w14:paraId="68808A38" w14:textId="20BD608F" w:rsidR="00934856" w:rsidRPr="00934856" w:rsidRDefault="004E7130" w:rsidP="00D27BD7">
            <w:pPr>
              <w:spacing w:after="160" w:line="276" w:lineRule="auto"/>
              <w:contextualSpacing/>
              <w:jc w:val="both"/>
              <w:rPr>
                <w:rFonts w:ascii="Times New Roman" w:hAnsi="Times New Roman"/>
                <w:sz w:val="24"/>
                <w:szCs w:val="24"/>
                <w:lang w:eastAsia="lv-LV"/>
              </w:rPr>
            </w:pPr>
            <w:r w:rsidRPr="004E7130">
              <w:rPr>
                <w:rFonts w:ascii="Times New Roman" w:hAnsi="Times New Roman"/>
                <w:sz w:val="24"/>
                <w:szCs w:val="24"/>
                <w:lang w:eastAsia="lv-LV"/>
              </w:rPr>
              <w:t xml:space="preserve">Komisijas </w:t>
            </w:r>
            <w:r w:rsidR="00BD68E3">
              <w:rPr>
                <w:rFonts w:ascii="Times New Roman" w:hAnsi="Times New Roman"/>
                <w:sz w:val="24"/>
                <w:szCs w:val="24"/>
                <w:lang w:eastAsia="lv-LV"/>
              </w:rPr>
              <w:t>R</w:t>
            </w:r>
            <w:r w:rsidRPr="004E7130">
              <w:rPr>
                <w:rFonts w:ascii="Times New Roman" w:hAnsi="Times New Roman"/>
                <w:sz w:val="24"/>
                <w:szCs w:val="24"/>
                <w:lang w:eastAsia="lv-LV"/>
              </w:rPr>
              <w:t>egulas Nr.</w:t>
            </w:r>
            <w:r>
              <w:rPr>
                <w:rFonts w:ascii="Times New Roman" w:hAnsi="Times New Roman"/>
                <w:sz w:val="24"/>
                <w:szCs w:val="24"/>
                <w:lang w:eastAsia="lv-LV"/>
              </w:rPr>
              <w:t> </w:t>
            </w:r>
            <w:r w:rsidRPr="004E7130">
              <w:rPr>
                <w:rFonts w:ascii="Times New Roman" w:hAnsi="Times New Roman"/>
                <w:sz w:val="24"/>
                <w:szCs w:val="24"/>
                <w:lang w:eastAsia="lv-LV"/>
              </w:rPr>
              <w:t>651/2014 13.</w:t>
            </w:r>
            <w:r>
              <w:rPr>
                <w:rFonts w:ascii="Times New Roman" w:hAnsi="Times New Roman"/>
                <w:sz w:val="24"/>
                <w:szCs w:val="24"/>
                <w:lang w:eastAsia="lv-LV"/>
              </w:rPr>
              <w:t> </w:t>
            </w:r>
            <w:r w:rsidRPr="004E7130">
              <w:rPr>
                <w:rFonts w:ascii="Times New Roman" w:hAnsi="Times New Roman"/>
                <w:sz w:val="24"/>
                <w:szCs w:val="24"/>
                <w:lang w:eastAsia="lv-LV"/>
              </w:rPr>
              <w:t>panta</w:t>
            </w:r>
            <w:r>
              <w:rPr>
                <w:rFonts w:ascii="Times New Roman" w:hAnsi="Times New Roman"/>
                <w:sz w:val="24"/>
                <w:szCs w:val="24"/>
                <w:lang w:eastAsia="lv-LV"/>
              </w:rPr>
              <w:t xml:space="preserve"> “</w:t>
            </w:r>
            <w:r w:rsidRPr="004E7130">
              <w:rPr>
                <w:rFonts w:ascii="Times New Roman" w:hAnsi="Times New Roman"/>
                <w:sz w:val="24"/>
                <w:szCs w:val="24"/>
                <w:lang w:eastAsia="lv-LV"/>
              </w:rPr>
              <w:t>e</w:t>
            </w:r>
            <w:r>
              <w:rPr>
                <w:rFonts w:ascii="Times New Roman" w:hAnsi="Times New Roman"/>
                <w:sz w:val="24"/>
                <w:szCs w:val="24"/>
                <w:lang w:eastAsia="lv-LV"/>
              </w:rPr>
              <w:t>”</w:t>
            </w:r>
            <w:r w:rsidRPr="004E7130">
              <w:rPr>
                <w:rFonts w:ascii="Times New Roman" w:hAnsi="Times New Roman"/>
                <w:sz w:val="24"/>
                <w:szCs w:val="24"/>
                <w:lang w:eastAsia="lv-LV"/>
              </w:rPr>
              <w:t xml:space="preserve"> apakšpunkt</w:t>
            </w:r>
            <w:r>
              <w:rPr>
                <w:rFonts w:ascii="Times New Roman" w:hAnsi="Times New Roman"/>
                <w:sz w:val="24"/>
                <w:szCs w:val="24"/>
                <w:lang w:eastAsia="lv-LV"/>
              </w:rPr>
              <w:t>s</w:t>
            </w:r>
            <w:r w:rsidRPr="004E7130">
              <w:rPr>
                <w:rFonts w:ascii="Times New Roman" w:hAnsi="Times New Roman"/>
                <w:sz w:val="24"/>
                <w:szCs w:val="24"/>
                <w:lang w:eastAsia="lv-LV"/>
              </w:rPr>
              <w:t xml:space="preserve"> noteic, ka šo iedaļu nepiemēro reģionālajam darbības atbalstam uzņēmumiem, kuru galvenā darbības joma ietilpst NACE 2.</w:t>
            </w:r>
            <w:r>
              <w:rPr>
                <w:rFonts w:ascii="Times New Roman" w:hAnsi="Times New Roman"/>
                <w:sz w:val="24"/>
                <w:szCs w:val="24"/>
                <w:lang w:eastAsia="lv-LV"/>
              </w:rPr>
              <w:t> </w:t>
            </w:r>
            <w:proofErr w:type="spellStart"/>
            <w:r w:rsidRPr="004E7130">
              <w:rPr>
                <w:rFonts w:ascii="Times New Roman" w:hAnsi="Times New Roman"/>
                <w:sz w:val="24"/>
                <w:szCs w:val="24"/>
                <w:lang w:eastAsia="lv-LV"/>
              </w:rPr>
              <w:t>red</w:t>
            </w:r>
            <w:proofErr w:type="spellEnd"/>
            <w:r w:rsidRPr="004E7130">
              <w:rPr>
                <w:rFonts w:ascii="Times New Roman" w:hAnsi="Times New Roman"/>
                <w:sz w:val="24"/>
                <w:szCs w:val="24"/>
                <w:lang w:eastAsia="lv-LV"/>
              </w:rPr>
              <w:t xml:space="preserve">. K iedaļā </w:t>
            </w:r>
            <w:r>
              <w:rPr>
                <w:rFonts w:ascii="Times New Roman" w:hAnsi="Times New Roman"/>
                <w:sz w:val="24"/>
                <w:szCs w:val="24"/>
                <w:lang w:eastAsia="lv-LV"/>
              </w:rPr>
              <w:t>“</w:t>
            </w:r>
            <w:r w:rsidRPr="004E7130">
              <w:rPr>
                <w:rFonts w:ascii="Times New Roman" w:hAnsi="Times New Roman"/>
                <w:sz w:val="24"/>
                <w:szCs w:val="24"/>
                <w:lang w:eastAsia="lv-LV"/>
              </w:rPr>
              <w:t>Finanšu un apdrošināšanas darbības</w:t>
            </w:r>
            <w:r>
              <w:rPr>
                <w:rFonts w:ascii="Times New Roman" w:hAnsi="Times New Roman"/>
                <w:sz w:val="24"/>
                <w:szCs w:val="24"/>
                <w:lang w:eastAsia="lv-LV"/>
              </w:rPr>
              <w:t>”</w:t>
            </w:r>
            <w:r w:rsidRPr="004E7130">
              <w:rPr>
                <w:rFonts w:ascii="Times New Roman" w:hAnsi="Times New Roman"/>
                <w:sz w:val="24"/>
                <w:szCs w:val="24"/>
                <w:lang w:eastAsia="lv-LV"/>
              </w:rPr>
              <w:t xml:space="preserve">, vai uzņēmumiem, kuri veic darbību grupas ietvaros un kuru galvenā darbības joma ietilpst NACE 2. </w:t>
            </w:r>
            <w:proofErr w:type="spellStart"/>
            <w:r w:rsidRPr="004E7130">
              <w:rPr>
                <w:rFonts w:ascii="Times New Roman" w:hAnsi="Times New Roman"/>
                <w:sz w:val="24"/>
                <w:szCs w:val="24"/>
                <w:lang w:eastAsia="lv-LV"/>
              </w:rPr>
              <w:t>red</w:t>
            </w:r>
            <w:proofErr w:type="spellEnd"/>
            <w:r w:rsidRPr="004E7130">
              <w:rPr>
                <w:rFonts w:ascii="Times New Roman" w:hAnsi="Times New Roman"/>
                <w:sz w:val="24"/>
                <w:szCs w:val="24"/>
                <w:lang w:eastAsia="lv-LV"/>
              </w:rPr>
              <w:t>. klasē 70.10</w:t>
            </w:r>
            <w:r>
              <w:rPr>
                <w:rFonts w:ascii="Times New Roman" w:hAnsi="Times New Roman"/>
                <w:sz w:val="24"/>
                <w:szCs w:val="24"/>
                <w:lang w:eastAsia="lv-LV"/>
              </w:rPr>
              <w:t> “</w:t>
            </w:r>
            <w:r w:rsidRPr="004E7130">
              <w:rPr>
                <w:rFonts w:ascii="Times New Roman" w:hAnsi="Times New Roman"/>
                <w:sz w:val="24"/>
                <w:szCs w:val="24"/>
                <w:lang w:eastAsia="lv-LV"/>
              </w:rPr>
              <w:t>Centrālo biroju darbība</w:t>
            </w:r>
            <w:r>
              <w:rPr>
                <w:rFonts w:ascii="Times New Roman" w:hAnsi="Times New Roman"/>
                <w:sz w:val="24"/>
                <w:szCs w:val="24"/>
                <w:lang w:eastAsia="lv-LV"/>
              </w:rPr>
              <w:t>”</w:t>
            </w:r>
            <w:r w:rsidRPr="004E7130">
              <w:rPr>
                <w:rFonts w:ascii="Times New Roman" w:hAnsi="Times New Roman"/>
                <w:sz w:val="24"/>
                <w:szCs w:val="24"/>
                <w:lang w:eastAsia="lv-LV"/>
              </w:rPr>
              <w:t xml:space="preserve"> vai 70.22</w:t>
            </w:r>
            <w:r>
              <w:rPr>
                <w:rFonts w:ascii="Times New Roman" w:hAnsi="Times New Roman"/>
                <w:sz w:val="24"/>
                <w:szCs w:val="24"/>
                <w:lang w:eastAsia="lv-LV"/>
              </w:rPr>
              <w:t> “</w:t>
            </w:r>
            <w:r w:rsidRPr="004E7130">
              <w:rPr>
                <w:rFonts w:ascii="Times New Roman" w:hAnsi="Times New Roman"/>
                <w:sz w:val="24"/>
                <w:szCs w:val="24"/>
                <w:lang w:eastAsia="lv-LV"/>
              </w:rPr>
              <w:t>Konsultēšana komercdarbībā un vadībzinībās</w:t>
            </w:r>
            <w:r w:rsidR="00BD68E3">
              <w:rPr>
                <w:rFonts w:ascii="Times New Roman" w:hAnsi="Times New Roman"/>
                <w:sz w:val="24"/>
                <w:szCs w:val="24"/>
                <w:lang w:eastAsia="lv-LV"/>
              </w:rPr>
              <w:t>”</w:t>
            </w:r>
            <w:r w:rsidRPr="004E7130">
              <w:rPr>
                <w:rFonts w:ascii="Times New Roman" w:hAnsi="Times New Roman"/>
                <w:sz w:val="24"/>
                <w:szCs w:val="24"/>
                <w:lang w:eastAsia="lv-LV"/>
              </w:rPr>
              <w:t>. Saistībā ar šo radās jautājums, vai sabiedrība, kuras divas no darbības nozarēm ir 70.10</w:t>
            </w:r>
            <w:r>
              <w:rPr>
                <w:rFonts w:ascii="Times New Roman" w:hAnsi="Times New Roman"/>
                <w:sz w:val="24"/>
                <w:szCs w:val="24"/>
                <w:lang w:eastAsia="lv-LV"/>
              </w:rPr>
              <w:t> “</w:t>
            </w:r>
            <w:r w:rsidRPr="004E7130">
              <w:rPr>
                <w:rFonts w:ascii="Times New Roman" w:hAnsi="Times New Roman"/>
                <w:sz w:val="24"/>
                <w:szCs w:val="24"/>
                <w:lang w:eastAsia="lv-LV"/>
              </w:rPr>
              <w:t>Centrālo biroju darbība</w:t>
            </w:r>
            <w:r>
              <w:rPr>
                <w:rFonts w:ascii="Times New Roman" w:hAnsi="Times New Roman"/>
                <w:sz w:val="24"/>
                <w:szCs w:val="24"/>
                <w:lang w:eastAsia="lv-LV"/>
              </w:rPr>
              <w:t>”</w:t>
            </w:r>
            <w:r w:rsidRPr="004E7130">
              <w:rPr>
                <w:rFonts w:ascii="Times New Roman" w:hAnsi="Times New Roman"/>
                <w:sz w:val="24"/>
                <w:szCs w:val="24"/>
                <w:lang w:eastAsia="lv-LV"/>
              </w:rPr>
              <w:t xml:space="preserve"> un 66.19</w:t>
            </w:r>
            <w:r>
              <w:rPr>
                <w:rFonts w:ascii="Times New Roman" w:hAnsi="Times New Roman"/>
                <w:sz w:val="24"/>
                <w:szCs w:val="24"/>
                <w:lang w:eastAsia="lv-LV"/>
              </w:rPr>
              <w:t> “</w:t>
            </w:r>
            <w:r w:rsidRPr="004E7130">
              <w:rPr>
                <w:rFonts w:ascii="Times New Roman" w:hAnsi="Times New Roman"/>
                <w:sz w:val="24"/>
                <w:szCs w:val="24"/>
                <w:lang w:eastAsia="lv-LV"/>
              </w:rPr>
              <w:t>Citas finanšu pakalpojumus papildinošas darbības, izņemot apdrošināšanu un pensiju uzkrāšanu</w:t>
            </w:r>
            <w:r>
              <w:rPr>
                <w:rFonts w:ascii="Times New Roman" w:hAnsi="Times New Roman"/>
                <w:sz w:val="24"/>
                <w:szCs w:val="24"/>
                <w:lang w:eastAsia="lv-LV"/>
              </w:rPr>
              <w:t>”</w:t>
            </w:r>
            <w:r w:rsidRPr="004E7130">
              <w:rPr>
                <w:rFonts w:ascii="Times New Roman" w:hAnsi="Times New Roman"/>
                <w:sz w:val="24"/>
                <w:szCs w:val="24"/>
                <w:lang w:eastAsia="lv-LV"/>
              </w:rPr>
              <w:t xml:space="preserve">, var pretendēt uz atbalstu </w:t>
            </w:r>
            <w:r w:rsidR="0037622A">
              <w:rPr>
                <w:rFonts w:ascii="Times New Roman" w:hAnsi="Times New Roman"/>
                <w:sz w:val="24"/>
                <w:szCs w:val="24"/>
                <w:lang w:eastAsia="lv-LV"/>
              </w:rPr>
              <w:t>SAMP</w:t>
            </w:r>
            <w:r w:rsidRPr="004E7130">
              <w:rPr>
                <w:rFonts w:ascii="Times New Roman" w:hAnsi="Times New Roman"/>
                <w:sz w:val="24"/>
                <w:szCs w:val="24"/>
                <w:lang w:eastAsia="lv-LV"/>
              </w:rPr>
              <w:t xml:space="preserve"> 3.1.1.3. ietvaros? Uz sabiedrības darbību neattiecas kritēriji, kas noteikti 21.01.2020. MK Noteikumu 15.punktā.</w:t>
            </w:r>
          </w:p>
        </w:tc>
      </w:tr>
      <w:tr w:rsidR="00934856" w:rsidRPr="00934856" w14:paraId="63CF31A2" w14:textId="77777777" w:rsidTr="00916DFD">
        <w:tc>
          <w:tcPr>
            <w:tcW w:w="9639" w:type="dxa"/>
            <w:tcBorders>
              <w:bottom w:val="single" w:sz="4" w:space="0" w:color="auto"/>
            </w:tcBorders>
            <w:shd w:val="clear" w:color="auto" w:fill="FFFFFF" w:themeFill="background1"/>
          </w:tcPr>
          <w:p w14:paraId="03BF0660" w14:textId="7AAE3CAE" w:rsidR="00934856" w:rsidRPr="00934856" w:rsidRDefault="00934856" w:rsidP="00D27BD7">
            <w:pPr>
              <w:spacing w:after="160" w:line="276" w:lineRule="auto"/>
              <w:jc w:val="both"/>
              <w:rPr>
                <w:rFonts w:ascii="Times New Roman" w:hAnsi="Times New Roman"/>
                <w:sz w:val="24"/>
                <w:szCs w:val="24"/>
                <w:lang w:eastAsia="lv-LV"/>
              </w:rPr>
            </w:pPr>
            <w:r w:rsidRPr="00934856">
              <w:rPr>
                <w:rFonts w:ascii="Times New Roman" w:hAnsi="Times New Roman"/>
                <w:sz w:val="24"/>
                <w:szCs w:val="24"/>
                <w:lang w:eastAsia="lv-LV"/>
              </w:rPr>
              <w:t>Atbilde uz 2. jautājumu:</w:t>
            </w:r>
          </w:p>
          <w:p w14:paraId="1E859DC4" w14:textId="04DC07C1" w:rsidR="004E7130" w:rsidRPr="004E7130" w:rsidRDefault="004E7130" w:rsidP="004E7130">
            <w:pPr>
              <w:spacing w:after="160" w:line="276" w:lineRule="auto"/>
              <w:jc w:val="both"/>
              <w:rPr>
                <w:rFonts w:ascii="Times New Roman" w:hAnsi="Times New Roman"/>
                <w:sz w:val="24"/>
                <w:szCs w:val="24"/>
                <w:lang w:eastAsia="lv-LV"/>
              </w:rPr>
            </w:pPr>
            <w:r w:rsidRPr="004E7130">
              <w:rPr>
                <w:rFonts w:ascii="Times New Roman" w:hAnsi="Times New Roman"/>
                <w:sz w:val="24"/>
                <w:szCs w:val="24"/>
                <w:lang w:eastAsia="lv-LV"/>
              </w:rPr>
              <w:t xml:space="preserve">Atsauce uz Komisijas </w:t>
            </w:r>
            <w:r w:rsidR="00BD68E3">
              <w:rPr>
                <w:rFonts w:ascii="Times New Roman" w:hAnsi="Times New Roman"/>
                <w:sz w:val="24"/>
                <w:szCs w:val="24"/>
                <w:lang w:eastAsia="lv-LV"/>
              </w:rPr>
              <w:t>R</w:t>
            </w:r>
            <w:r w:rsidRPr="004E7130">
              <w:rPr>
                <w:rFonts w:ascii="Times New Roman" w:hAnsi="Times New Roman"/>
                <w:sz w:val="24"/>
                <w:szCs w:val="24"/>
                <w:lang w:eastAsia="lv-LV"/>
              </w:rPr>
              <w:t>egulas Nr.</w:t>
            </w:r>
            <w:r>
              <w:rPr>
                <w:rFonts w:ascii="Times New Roman" w:hAnsi="Times New Roman"/>
                <w:sz w:val="24"/>
                <w:szCs w:val="24"/>
                <w:lang w:eastAsia="lv-LV"/>
              </w:rPr>
              <w:t> </w:t>
            </w:r>
            <w:r w:rsidRPr="004E7130">
              <w:rPr>
                <w:rFonts w:ascii="Times New Roman" w:hAnsi="Times New Roman"/>
                <w:sz w:val="24"/>
                <w:szCs w:val="24"/>
                <w:lang w:eastAsia="lv-LV"/>
              </w:rPr>
              <w:t>651/2014 13.</w:t>
            </w:r>
            <w:r>
              <w:rPr>
                <w:rFonts w:ascii="Times New Roman" w:hAnsi="Times New Roman"/>
                <w:sz w:val="24"/>
                <w:szCs w:val="24"/>
                <w:lang w:eastAsia="lv-LV"/>
              </w:rPr>
              <w:t> </w:t>
            </w:r>
            <w:r w:rsidRPr="004E7130">
              <w:rPr>
                <w:rFonts w:ascii="Times New Roman" w:hAnsi="Times New Roman"/>
                <w:sz w:val="24"/>
                <w:szCs w:val="24"/>
                <w:lang w:eastAsia="lv-LV"/>
              </w:rPr>
              <w:t xml:space="preserve">panta </w:t>
            </w:r>
            <w:r>
              <w:rPr>
                <w:rFonts w:ascii="Times New Roman" w:hAnsi="Times New Roman"/>
                <w:sz w:val="24"/>
                <w:szCs w:val="24"/>
                <w:lang w:eastAsia="lv-LV"/>
              </w:rPr>
              <w:t>“</w:t>
            </w:r>
            <w:r w:rsidRPr="004E7130">
              <w:rPr>
                <w:rFonts w:ascii="Times New Roman" w:hAnsi="Times New Roman"/>
                <w:sz w:val="24"/>
                <w:szCs w:val="24"/>
                <w:lang w:eastAsia="lv-LV"/>
              </w:rPr>
              <w:t>e</w:t>
            </w:r>
            <w:r>
              <w:rPr>
                <w:rFonts w:ascii="Times New Roman" w:hAnsi="Times New Roman"/>
                <w:sz w:val="24"/>
                <w:szCs w:val="24"/>
                <w:lang w:eastAsia="lv-LV"/>
              </w:rPr>
              <w:t>”</w:t>
            </w:r>
            <w:r w:rsidRPr="004E7130">
              <w:rPr>
                <w:rFonts w:ascii="Times New Roman" w:hAnsi="Times New Roman"/>
                <w:sz w:val="24"/>
                <w:szCs w:val="24"/>
                <w:lang w:eastAsia="lv-LV"/>
              </w:rPr>
              <w:t xml:space="preserve"> apakšpunktu ietverta regulas 1.</w:t>
            </w:r>
            <w:r>
              <w:rPr>
                <w:rFonts w:ascii="Times New Roman" w:hAnsi="Times New Roman"/>
                <w:sz w:val="24"/>
                <w:szCs w:val="24"/>
                <w:lang w:eastAsia="lv-LV"/>
              </w:rPr>
              <w:t> </w:t>
            </w:r>
            <w:r w:rsidRPr="004E7130">
              <w:rPr>
                <w:rFonts w:ascii="Times New Roman" w:hAnsi="Times New Roman"/>
                <w:sz w:val="24"/>
                <w:szCs w:val="24"/>
                <w:lang w:eastAsia="lv-LV"/>
              </w:rPr>
              <w:t>panta 3.</w:t>
            </w:r>
            <w:r>
              <w:rPr>
                <w:rFonts w:ascii="Times New Roman" w:hAnsi="Times New Roman"/>
                <w:sz w:val="24"/>
                <w:szCs w:val="24"/>
                <w:lang w:eastAsia="lv-LV"/>
              </w:rPr>
              <w:t> </w:t>
            </w:r>
            <w:r w:rsidRPr="004E7130">
              <w:rPr>
                <w:rFonts w:ascii="Times New Roman" w:hAnsi="Times New Roman"/>
                <w:sz w:val="24"/>
                <w:szCs w:val="24"/>
                <w:lang w:eastAsia="lv-LV"/>
              </w:rPr>
              <w:t xml:space="preserve">punkta </w:t>
            </w:r>
            <w:r>
              <w:rPr>
                <w:rFonts w:ascii="Times New Roman" w:hAnsi="Times New Roman"/>
                <w:sz w:val="24"/>
                <w:szCs w:val="24"/>
                <w:lang w:eastAsia="lv-LV"/>
              </w:rPr>
              <w:t>“</w:t>
            </w:r>
            <w:r w:rsidRPr="004E7130">
              <w:rPr>
                <w:rFonts w:ascii="Times New Roman" w:hAnsi="Times New Roman"/>
                <w:sz w:val="24"/>
                <w:szCs w:val="24"/>
                <w:lang w:eastAsia="lv-LV"/>
              </w:rPr>
              <w:t>e</w:t>
            </w:r>
            <w:r>
              <w:rPr>
                <w:rFonts w:ascii="Times New Roman" w:hAnsi="Times New Roman"/>
                <w:sz w:val="24"/>
                <w:szCs w:val="24"/>
                <w:lang w:eastAsia="lv-LV"/>
              </w:rPr>
              <w:t>”</w:t>
            </w:r>
            <w:r w:rsidRPr="004E7130">
              <w:rPr>
                <w:rFonts w:ascii="Times New Roman" w:hAnsi="Times New Roman"/>
                <w:sz w:val="24"/>
                <w:szCs w:val="24"/>
                <w:lang w:eastAsia="lv-LV"/>
              </w:rPr>
              <w:t xml:space="preserve"> apakšpunktā, kas noteic gadījumus, kad regulu nepiemēro, tādēļ sabiedrība, kura darbojas minētajās saimnieciskās darbības nozarēs nav atbalstāma Komisijas </w:t>
            </w:r>
            <w:r w:rsidR="00BD68E3">
              <w:rPr>
                <w:rFonts w:ascii="Times New Roman" w:hAnsi="Times New Roman"/>
                <w:sz w:val="24"/>
                <w:szCs w:val="24"/>
                <w:lang w:eastAsia="lv-LV"/>
              </w:rPr>
              <w:t>R</w:t>
            </w:r>
            <w:r w:rsidRPr="004E7130">
              <w:rPr>
                <w:rFonts w:ascii="Times New Roman" w:hAnsi="Times New Roman"/>
                <w:sz w:val="24"/>
                <w:szCs w:val="24"/>
                <w:lang w:eastAsia="lv-LV"/>
              </w:rPr>
              <w:t>egulas Nr.</w:t>
            </w:r>
            <w:r>
              <w:rPr>
                <w:rFonts w:ascii="Times New Roman" w:hAnsi="Times New Roman"/>
                <w:sz w:val="24"/>
                <w:szCs w:val="24"/>
                <w:lang w:eastAsia="lv-LV"/>
              </w:rPr>
              <w:t> </w:t>
            </w:r>
            <w:r w:rsidRPr="004E7130">
              <w:rPr>
                <w:rFonts w:ascii="Times New Roman" w:hAnsi="Times New Roman"/>
                <w:sz w:val="24"/>
                <w:szCs w:val="24"/>
                <w:lang w:eastAsia="lv-LV"/>
              </w:rPr>
              <w:t>651/2014 ietvaros. Attiecīgi gadījumos, ja uzņēmums darbojas divās vai vairāk nozarēs, kur viena (vai vairākas) no tām ir neatbalstāmas, t.</w:t>
            </w:r>
            <w:r>
              <w:rPr>
                <w:rFonts w:ascii="Times New Roman" w:hAnsi="Times New Roman"/>
                <w:sz w:val="24"/>
                <w:szCs w:val="24"/>
                <w:lang w:eastAsia="lv-LV"/>
              </w:rPr>
              <w:t> </w:t>
            </w:r>
            <w:r w:rsidRPr="004E7130">
              <w:rPr>
                <w:rFonts w:ascii="Times New Roman" w:hAnsi="Times New Roman"/>
                <w:sz w:val="24"/>
                <w:szCs w:val="24"/>
                <w:lang w:eastAsia="lv-LV"/>
              </w:rPr>
              <w:t>sk. 70.10</w:t>
            </w:r>
            <w:r>
              <w:rPr>
                <w:rFonts w:ascii="Times New Roman" w:hAnsi="Times New Roman"/>
                <w:sz w:val="24"/>
                <w:szCs w:val="24"/>
                <w:lang w:eastAsia="lv-LV"/>
              </w:rPr>
              <w:t> “</w:t>
            </w:r>
            <w:r w:rsidRPr="004E7130">
              <w:rPr>
                <w:rFonts w:ascii="Times New Roman" w:hAnsi="Times New Roman"/>
                <w:sz w:val="24"/>
                <w:szCs w:val="24"/>
                <w:lang w:eastAsia="lv-LV"/>
              </w:rPr>
              <w:t>Centrālo biroju darbība</w:t>
            </w:r>
            <w:r>
              <w:rPr>
                <w:rFonts w:ascii="Times New Roman" w:hAnsi="Times New Roman"/>
                <w:sz w:val="24"/>
                <w:szCs w:val="24"/>
                <w:lang w:eastAsia="lv-LV"/>
              </w:rPr>
              <w:t>”</w:t>
            </w:r>
            <w:r w:rsidRPr="004E7130">
              <w:rPr>
                <w:rFonts w:ascii="Times New Roman" w:hAnsi="Times New Roman"/>
                <w:sz w:val="24"/>
                <w:szCs w:val="24"/>
                <w:lang w:eastAsia="lv-LV"/>
              </w:rPr>
              <w:t xml:space="preserve"> un 66.19.</w:t>
            </w:r>
            <w:r>
              <w:rPr>
                <w:rFonts w:ascii="Times New Roman" w:hAnsi="Times New Roman"/>
                <w:sz w:val="24"/>
                <w:szCs w:val="24"/>
                <w:lang w:eastAsia="lv-LV"/>
              </w:rPr>
              <w:t> “</w:t>
            </w:r>
            <w:r w:rsidRPr="004E7130">
              <w:rPr>
                <w:rFonts w:ascii="Times New Roman" w:hAnsi="Times New Roman"/>
                <w:sz w:val="24"/>
                <w:szCs w:val="24"/>
                <w:lang w:eastAsia="lv-LV"/>
              </w:rPr>
              <w:t>Citas finanšu pakalpojumus papildinošas darbības, izņemot apdrošināšanu un pensiju uzkrāšanu</w:t>
            </w:r>
            <w:r>
              <w:rPr>
                <w:rFonts w:ascii="Times New Roman" w:hAnsi="Times New Roman"/>
                <w:sz w:val="24"/>
                <w:szCs w:val="24"/>
                <w:lang w:eastAsia="lv-LV"/>
              </w:rPr>
              <w:t>”</w:t>
            </w:r>
            <w:r w:rsidRPr="004E7130">
              <w:rPr>
                <w:rFonts w:ascii="Times New Roman" w:hAnsi="Times New Roman"/>
                <w:sz w:val="24"/>
                <w:szCs w:val="24"/>
                <w:lang w:eastAsia="lv-LV"/>
              </w:rPr>
              <w:t xml:space="preserve">, </w:t>
            </w:r>
            <w:r w:rsidR="0037622A">
              <w:rPr>
                <w:rFonts w:ascii="Times New Roman" w:hAnsi="Times New Roman"/>
                <w:sz w:val="24"/>
                <w:szCs w:val="24"/>
                <w:lang w:eastAsia="lv-LV"/>
              </w:rPr>
              <w:t xml:space="preserve">tas </w:t>
            </w:r>
            <w:r w:rsidRPr="00C83FA7">
              <w:rPr>
                <w:rFonts w:ascii="Times New Roman" w:hAnsi="Times New Roman"/>
                <w:b/>
                <w:bCs/>
                <w:sz w:val="24"/>
                <w:szCs w:val="24"/>
                <w:lang w:eastAsia="lv-LV"/>
              </w:rPr>
              <w:t xml:space="preserve">uz atbalstu SAMP 3.1.1.3. ietvaros nevarētu pretendēt saskaņā ar Komisijas </w:t>
            </w:r>
            <w:r w:rsidR="00BD68E3" w:rsidRPr="00C83FA7">
              <w:rPr>
                <w:rFonts w:ascii="Times New Roman" w:hAnsi="Times New Roman"/>
                <w:b/>
                <w:bCs/>
                <w:sz w:val="24"/>
                <w:szCs w:val="24"/>
                <w:lang w:eastAsia="lv-LV"/>
              </w:rPr>
              <w:t>R</w:t>
            </w:r>
            <w:r w:rsidRPr="00C83FA7">
              <w:rPr>
                <w:rFonts w:ascii="Times New Roman" w:hAnsi="Times New Roman"/>
                <w:b/>
                <w:bCs/>
                <w:sz w:val="24"/>
                <w:szCs w:val="24"/>
                <w:lang w:eastAsia="lv-LV"/>
              </w:rPr>
              <w:t>egulu Nr. 651/2014</w:t>
            </w:r>
            <w:r w:rsidRPr="004E7130">
              <w:rPr>
                <w:rFonts w:ascii="Times New Roman" w:hAnsi="Times New Roman"/>
                <w:sz w:val="24"/>
                <w:szCs w:val="24"/>
                <w:lang w:eastAsia="lv-LV"/>
              </w:rPr>
              <w:t>.</w:t>
            </w:r>
          </w:p>
          <w:p w14:paraId="6EC3ACF5" w14:textId="2CCA92B8" w:rsidR="007F443D" w:rsidRPr="00934856" w:rsidRDefault="004E7130" w:rsidP="004E7130">
            <w:pPr>
              <w:spacing w:after="160" w:line="276" w:lineRule="auto"/>
              <w:jc w:val="both"/>
              <w:rPr>
                <w:rFonts w:ascii="Calibri" w:hAnsi="Calibri" w:cs="Calibri"/>
                <w:sz w:val="24"/>
                <w:szCs w:val="24"/>
                <w:lang w:eastAsia="lv-LV"/>
              </w:rPr>
            </w:pPr>
            <w:r w:rsidRPr="004E7130">
              <w:rPr>
                <w:rFonts w:ascii="Times New Roman" w:hAnsi="Times New Roman"/>
                <w:sz w:val="24"/>
                <w:szCs w:val="24"/>
                <w:lang w:eastAsia="lv-LV"/>
              </w:rPr>
              <w:t>Tomēr MK noteikumu 12.</w:t>
            </w:r>
            <w:r w:rsidR="00C83FA7">
              <w:rPr>
                <w:rFonts w:ascii="Times New Roman" w:hAnsi="Times New Roman"/>
                <w:sz w:val="24"/>
                <w:szCs w:val="24"/>
                <w:lang w:eastAsia="lv-LV"/>
              </w:rPr>
              <w:t> </w:t>
            </w:r>
            <w:r w:rsidRPr="004E7130">
              <w:rPr>
                <w:rFonts w:ascii="Times New Roman" w:hAnsi="Times New Roman"/>
                <w:sz w:val="24"/>
                <w:szCs w:val="24"/>
                <w:lang w:eastAsia="lv-LV"/>
              </w:rPr>
              <w:t>punkts paredz, ka atbalstu pasākuma ietvaros var pieš</w:t>
            </w:r>
            <w:r w:rsidR="0037622A">
              <w:rPr>
                <w:rFonts w:ascii="Times New Roman" w:hAnsi="Times New Roman"/>
                <w:sz w:val="24"/>
                <w:szCs w:val="24"/>
                <w:lang w:eastAsia="lv-LV"/>
              </w:rPr>
              <w:t>ķ</w:t>
            </w:r>
            <w:r w:rsidRPr="004E7130">
              <w:rPr>
                <w:rFonts w:ascii="Times New Roman" w:hAnsi="Times New Roman"/>
                <w:sz w:val="24"/>
                <w:szCs w:val="24"/>
                <w:lang w:eastAsia="lv-LV"/>
              </w:rPr>
              <w:t>irt ne tikai saskaņā ar Komisijas regulu Nr.</w:t>
            </w:r>
            <w:r w:rsidR="00BD68E3">
              <w:rPr>
                <w:rFonts w:ascii="Times New Roman" w:hAnsi="Times New Roman"/>
                <w:sz w:val="24"/>
                <w:szCs w:val="24"/>
                <w:lang w:eastAsia="lv-LV"/>
              </w:rPr>
              <w:t> </w:t>
            </w:r>
            <w:r w:rsidRPr="004E7130">
              <w:rPr>
                <w:rFonts w:ascii="Times New Roman" w:hAnsi="Times New Roman"/>
                <w:sz w:val="24"/>
                <w:szCs w:val="24"/>
                <w:lang w:eastAsia="lv-LV"/>
              </w:rPr>
              <w:t>651/2014, bet arī saskaņā ar Komisijas Regulu</w:t>
            </w:r>
            <w:r w:rsidR="00BD68E3">
              <w:rPr>
                <w:rFonts w:ascii="Times New Roman" w:hAnsi="Times New Roman"/>
                <w:sz w:val="24"/>
                <w:szCs w:val="24"/>
                <w:lang w:eastAsia="lv-LV"/>
              </w:rPr>
              <w:t xml:space="preserve"> </w:t>
            </w:r>
            <w:r w:rsidRPr="004E7130">
              <w:rPr>
                <w:rFonts w:ascii="Times New Roman" w:hAnsi="Times New Roman"/>
                <w:sz w:val="24"/>
                <w:szCs w:val="24"/>
                <w:lang w:eastAsia="lv-LV"/>
              </w:rPr>
              <w:t>Nr.</w:t>
            </w:r>
            <w:r w:rsidR="00BD68E3">
              <w:rPr>
                <w:rFonts w:ascii="Times New Roman" w:hAnsi="Times New Roman"/>
                <w:sz w:val="24"/>
                <w:szCs w:val="24"/>
                <w:lang w:eastAsia="lv-LV"/>
              </w:rPr>
              <w:t> </w:t>
            </w:r>
            <w:r w:rsidRPr="004E7130">
              <w:rPr>
                <w:rFonts w:ascii="Times New Roman" w:hAnsi="Times New Roman"/>
                <w:sz w:val="24"/>
                <w:szCs w:val="24"/>
                <w:lang w:eastAsia="lv-LV"/>
              </w:rPr>
              <w:t xml:space="preserve">1407/2013 (kā </w:t>
            </w:r>
            <w:proofErr w:type="spellStart"/>
            <w:r w:rsidRPr="0037622A">
              <w:rPr>
                <w:rFonts w:ascii="Times New Roman" w:hAnsi="Times New Roman"/>
                <w:i/>
                <w:iCs/>
                <w:sz w:val="24"/>
                <w:szCs w:val="24"/>
                <w:lang w:eastAsia="lv-LV"/>
              </w:rPr>
              <w:t>de</w:t>
            </w:r>
            <w:proofErr w:type="spellEnd"/>
            <w:r w:rsidR="0037622A" w:rsidRPr="0037622A">
              <w:rPr>
                <w:rFonts w:ascii="Times New Roman" w:hAnsi="Times New Roman"/>
                <w:i/>
                <w:iCs/>
                <w:sz w:val="24"/>
                <w:szCs w:val="24"/>
                <w:lang w:eastAsia="lv-LV"/>
              </w:rPr>
              <w:t> </w:t>
            </w:r>
            <w:proofErr w:type="spellStart"/>
            <w:r w:rsidRPr="0037622A">
              <w:rPr>
                <w:rFonts w:ascii="Times New Roman" w:hAnsi="Times New Roman"/>
                <w:i/>
                <w:iCs/>
                <w:sz w:val="24"/>
                <w:szCs w:val="24"/>
                <w:lang w:eastAsia="lv-LV"/>
              </w:rPr>
              <w:t>minimis</w:t>
            </w:r>
            <w:proofErr w:type="spellEnd"/>
            <w:r w:rsidRPr="004E7130">
              <w:rPr>
                <w:rFonts w:ascii="Times New Roman" w:hAnsi="Times New Roman"/>
                <w:sz w:val="24"/>
                <w:szCs w:val="24"/>
                <w:lang w:eastAsia="lv-LV"/>
              </w:rPr>
              <w:t xml:space="preserve"> atbalstu). Komisijas Regula Nr.</w:t>
            </w:r>
            <w:r w:rsidR="0037622A">
              <w:rPr>
                <w:rFonts w:ascii="Times New Roman" w:hAnsi="Times New Roman"/>
                <w:sz w:val="24"/>
                <w:szCs w:val="24"/>
                <w:lang w:eastAsia="lv-LV"/>
              </w:rPr>
              <w:t> </w:t>
            </w:r>
            <w:r w:rsidRPr="004E7130">
              <w:rPr>
                <w:rFonts w:ascii="Times New Roman" w:hAnsi="Times New Roman"/>
                <w:sz w:val="24"/>
                <w:szCs w:val="24"/>
                <w:lang w:eastAsia="lv-LV"/>
              </w:rPr>
              <w:t>1407/2013 neizslēdz darbības nozares 70.10</w:t>
            </w:r>
            <w:r w:rsidR="0037622A">
              <w:rPr>
                <w:rFonts w:ascii="Times New Roman" w:hAnsi="Times New Roman"/>
                <w:sz w:val="24"/>
                <w:szCs w:val="24"/>
                <w:lang w:eastAsia="lv-LV"/>
              </w:rPr>
              <w:t> “</w:t>
            </w:r>
            <w:r w:rsidRPr="004E7130">
              <w:rPr>
                <w:rFonts w:ascii="Times New Roman" w:hAnsi="Times New Roman"/>
                <w:sz w:val="24"/>
                <w:szCs w:val="24"/>
                <w:lang w:eastAsia="lv-LV"/>
              </w:rPr>
              <w:t>Centrālo biroju darbība</w:t>
            </w:r>
            <w:r w:rsidR="0037622A">
              <w:rPr>
                <w:rFonts w:ascii="Times New Roman" w:hAnsi="Times New Roman"/>
                <w:sz w:val="24"/>
                <w:szCs w:val="24"/>
                <w:lang w:eastAsia="lv-LV"/>
              </w:rPr>
              <w:t>”</w:t>
            </w:r>
            <w:r w:rsidRPr="004E7130">
              <w:rPr>
                <w:rFonts w:ascii="Times New Roman" w:hAnsi="Times New Roman"/>
                <w:sz w:val="24"/>
                <w:szCs w:val="24"/>
                <w:lang w:eastAsia="lv-LV"/>
              </w:rPr>
              <w:t xml:space="preserve"> un 66.19.</w:t>
            </w:r>
            <w:r w:rsidR="0037622A">
              <w:rPr>
                <w:rFonts w:ascii="Times New Roman" w:hAnsi="Times New Roman"/>
                <w:sz w:val="24"/>
                <w:szCs w:val="24"/>
                <w:lang w:eastAsia="lv-LV"/>
              </w:rPr>
              <w:t> “</w:t>
            </w:r>
            <w:r w:rsidRPr="004E7130">
              <w:rPr>
                <w:rFonts w:ascii="Times New Roman" w:hAnsi="Times New Roman"/>
                <w:sz w:val="24"/>
                <w:szCs w:val="24"/>
                <w:lang w:eastAsia="lv-LV"/>
              </w:rPr>
              <w:t>Citas finanšu pakalpojumus papildinošas darbības, izņemot apdrošināšanu un pensiju uzkrāšanu</w:t>
            </w:r>
            <w:r w:rsidR="0037622A">
              <w:rPr>
                <w:rFonts w:ascii="Times New Roman" w:hAnsi="Times New Roman"/>
                <w:sz w:val="24"/>
                <w:szCs w:val="24"/>
                <w:lang w:eastAsia="lv-LV"/>
              </w:rPr>
              <w:t>”</w:t>
            </w:r>
            <w:r w:rsidRPr="004E7130">
              <w:rPr>
                <w:rFonts w:ascii="Times New Roman" w:hAnsi="Times New Roman"/>
                <w:sz w:val="24"/>
                <w:szCs w:val="24"/>
                <w:lang w:eastAsia="lv-LV"/>
              </w:rPr>
              <w:t xml:space="preserve"> no atbalstāmo nozaru saraksta, tādēļ šāds uzņēmums </w:t>
            </w:r>
            <w:r w:rsidRPr="00C83FA7">
              <w:rPr>
                <w:rFonts w:ascii="Times New Roman" w:hAnsi="Times New Roman"/>
                <w:b/>
                <w:bCs/>
                <w:sz w:val="24"/>
                <w:szCs w:val="24"/>
                <w:lang w:eastAsia="lv-LV"/>
              </w:rPr>
              <w:t xml:space="preserve">var pretendēt uz </w:t>
            </w:r>
            <w:r w:rsidR="0037622A" w:rsidRPr="00C83FA7">
              <w:rPr>
                <w:rFonts w:ascii="Times New Roman" w:hAnsi="Times New Roman"/>
                <w:b/>
                <w:bCs/>
                <w:sz w:val="24"/>
                <w:szCs w:val="24"/>
                <w:lang w:eastAsia="lv-LV"/>
              </w:rPr>
              <w:t xml:space="preserve">SAMP </w:t>
            </w:r>
            <w:r w:rsidRPr="00C83FA7">
              <w:rPr>
                <w:rFonts w:ascii="Times New Roman" w:hAnsi="Times New Roman"/>
                <w:b/>
                <w:bCs/>
                <w:sz w:val="24"/>
                <w:szCs w:val="24"/>
                <w:lang w:eastAsia="lv-LV"/>
              </w:rPr>
              <w:t>3.1.1.3. atbalstu saskaņā ar Komisijas Regulu Nr.</w:t>
            </w:r>
            <w:r w:rsidR="00C83FA7" w:rsidRPr="00C83FA7">
              <w:rPr>
                <w:rFonts w:ascii="Times New Roman" w:hAnsi="Times New Roman"/>
                <w:b/>
                <w:bCs/>
                <w:sz w:val="24"/>
                <w:szCs w:val="24"/>
                <w:lang w:eastAsia="lv-LV"/>
              </w:rPr>
              <w:t> </w:t>
            </w:r>
            <w:r w:rsidRPr="00C83FA7">
              <w:rPr>
                <w:rFonts w:ascii="Times New Roman" w:hAnsi="Times New Roman"/>
                <w:b/>
                <w:bCs/>
                <w:sz w:val="24"/>
                <w:szCs w:val="24"/>
                <w:lang w:eastAsia="lv-LV"/>
              </w:rPr>
              <w:t>1407/2013</w:t>
            </w:r>
            <w:r w:rsidRPr="004E7130">
              <w:rPr>
                <w:rFonts w:ascii="Times New Roman" w:hAnsi="Times New Roman"/>
                <w:sz w:val="24"/>
                <w:szCs w:val="24"/>
                <w:lang w:eastAsia="lv-LV"/>
              </w:rPr>
              <w:t>.</w:t>
            </w:r>
          </w:p>
        </w:tc>
      </w:tr>
      <w:tr w:rsidR="00243A81" w:rsidRPr="00934856" w14:paraId="7C2ED879" w14:textId="77777777" w:rsidTr="00916DFD">
        <w:tc>
          <w:tcPr>
            <w:tcW w:w="9639" w:type="dxa"/>
            <w:shd w:val="clear" w:color="auto" w:fill="DBDBDB" w:themeFill="accent3" w:themeFillTint="66"/>
          </w:tcPr>
          <w:p w14:paraId="0AB8A427" w14:textId="4CCCA95E" w:rsidR="00243A81" w:rsidRDefault="00243A81" w:rsidP="00C83FA7">
            <w:pPr>
              <w:spacing w:after="160" w:line="276" w:lineRule="auto"/>
              <w:ind w:left="-6"/>
              <w:jc w:val="both"/>
              <w:rPr>
                <w:rFonts w:ascii="Times" w:hAnsi="Times"/>
                <w:sz w:val="24"/>
                <w:szCs w:val="24"/>
              </w:rPr>
            </w:pPr>
            <w:r>
              <w:rPr>
                <w:rFonts w:ascii="Times" w:hAnsi="Times"/>
                <w:sz w:val="24"/>
                <w:szCs w:val="24"/>
              </w:rPr>
              <w:t>3. jautājums:</w:t>
            </w:r>
          </w:p>
          <w:p w14:paraId="52B81C9F" w14:textId="6F42C40D" w:rsidR="00243A81" w:rsidRPr="00243A81" w:rsidRDefault="00C83FA7" w:rsidP="00C83FA7">
            <w:pPr>
              <w:spacing w:after="160" w:line="276" w:lineRule="auto"/>
              <w:ind w:left="-6"/>
              <w:jc w:val="both"/>
              <w:rPr>
                <w:rFonts w:ascii="Times" w:hAnsi="Times"/>
                <w:sz w:val="24"/>
                <w:szCs w:val="24"/>
              </w:rPr>
            </w:pPr>
            <w:r>
              <w:rPr>
                <w:rFonts w:ascii="Times" w:hAnsi="Times"/>
                <w:sz w:val="24"/>
                <w:szCs w:val="24"/>
              </w:rPr>
              <w:t xml:space="preserve">SAMP </w:t>
            </w:r>
            <w:r w:rsidRPr="00C83FA7">
              <w:rPr>
                <w:rFonts w:ascii="Times" w:hAnsi="Times"/>
                <w:sz w:val="24"/>
                <w:szCs w:val="24"/>
              </w:rPr>
              <w:t>3.1.1.3.</w:t>
            </w:r>
            <w:r>
              <w:rPr>
                <w:rFonts w:ascii="Times" w:hAnsi="Times"/>
                <w:sz w:val="24"/>
                <w:szCs w:val="24"/>
              </w:rPr>
              <w:t xml:space="preserve"> trešās atlases kārtas i</w:t>
            </w:r>
            <w:r w:rsidRPr="00C83FA7">
              <w:rPr>
                <w:rFonts w:ascii="Times" w:hAnsi="Times"/>
                <w:sz w:val="24"/>
                <w:szCs w:val="24"/>
              </w:rPr>
              <w:t>esniegšanas termiņš</w:t>
            </w:r>
            <w:r>
              <w:rPr>
                <w:rFonts w:ascii="Times" w:hAnsi="Times"/>
                <w:sz w:val="24"/>
                <w:szCs w:val="24"/>
              </w:rPr>
              <w:t xml:space="preserve"> ir līdz 2021. gada 6. septembrim. V</w:t>
            </w:r>
            <w:r w:rsidRPr="00C83FA7">
              <w:rPr>
                <w:rFonts w:ascii="Times" w:hAnsi="Times"/>
                <w:sz w:val="24"/>
                <w:szCs w:val="24"/>
              </w:rPr>
              <w:t>ai pēc šī termiņa iztecēšanas būs vel kāda kārta? Tiek plānota akciju emisija biržā, bet process ir garš</w:t>
            </w:r>
            <w:r>
              <w:rPr>
                <w:rFonts w:ascii="Times" w:hAnsi="Times"/>
                <w:sz w:val="24"/>
                <w:szCs w:val="24"/>
              </w:rPr>
              <w:t>.</w:t>
            </w:r>
          </w:p>
        </w:tc>
      </w:tr>
      <w:tr w:rsidR="00243A81" w:rsidRPr="00934856" w14:paraId="3D8FF870" w14:textId="77777777" w:rsidTr="00916DFD">
        <w:tc>
          <w:tcPr>
            <w:tcW w:w="9639" w:type="dxa"/>
            <w:tcBorders>
              <w:bottom w:val="single" w:sz="4" w:space="0" w:color="auto"/>
            </w:tcBorders>
            <w:shd w:val="clear" w:color="auto" w:fill="FFFFFF" w:themeFill="background1"/>
          </w:tcPr>
          <w:p w14:paraId="35162143" w14:textId="20530B40" w:rsidR="00243A81" w:rsidRPr="00D27BD7" w:rsidRDefault="00243A81" w:rsidP="00D27BD7">
            <w:pPr>
              <w:spacing w:after="160" w:line="276" w:lineRule="auto"/>
              <w:jc w:val="both"/>
              <w:rPr>
                <w:rFonts w:ascii="Times" w:hAnsi="Times"/>
                <w:sz w:val="24"/>
                <w:szCs w:val="24"/>
                <w:lang w:eastAsia="lv-LV"/>
              </w:rPr>
            </w:pPr>
            <w:r w:rsidRPr="00D27BD7">
              <w:rPr>
                <w:rFonts w:ascii="Times" w:hAnsi="Times"/>
                <w:sz w:val="24"/>
                <w:szCs w:val="24"/>
                <w:lang w:eastAsia="lv-LV"/>
              </w:rPr>
              <w:t>Atbilde uz 3. jautājumu:</w:t>
            </w:r>
          </w:p>
          <w:p w14:paraId="21E2CBA6" w14:textId="2139E0FD" w:rsidR="00C83FA7" w:rsidRPr="00C83FA7" w:rsidRDefault="00C83FA7" w:rsidP="00C83FA7">
            <w:pPr>
              <w:spacing w:after="160" w:line="276" w:lineRule="auto"/>
              <w:jc w:val="both"/>
              <w:rPr>
                <w:rFonts w:ascii="Times Baltic" w:hAnsi="Times Baltic"/>
                <w:iCs/>
                <w:sz w:val="24"/>
                <w:szCs w:val="24"/>
              </w:rPr>
            </w:pPr>
            <w:r w:rsidRPr="00C83FA7">
              <w:rPr>
                <w:rFonts w:ascii="Times Baltic" w:hAnsi="Times Baltic"/>
                <w:iCs/>
                <w:sz w:val="24"/>
                <w:szCs w:val="24"/>
              </w:rPr>
              <w:t xml:space="preserve">Ņemot vērā, ka </w:t>
            </w:r>
            <w:r>
              <w:rPr>
                <w:rFonts w:ascii="Times Baltic" w:hAnsi="Times Baltic"/>
                <w:iCs/>
                <w:sz w:val="24"/>
                <w:szCs w:val="24"/>
              </w:rPr>
              <w:t>MK noteikumu</w:t>
            </w:r>
            <w:r w:rsidRPr="00C83FA7">
              <w:rPr>
                <w:rFonts w:ascii="Times Baltic" w:hAnsi="Times Baltic"/>
                <w:iCs/>
                <w:sz w:val="24"/>
                <w:szCs w:val="24"/>
              </w:rPr>
              <w:t xml:space="preserve"> 8.</w:t>
            </w:r>
            <w:r>
              <w:rPr>
                <w:rFonts w:ascii="Times Baltic" w:hAnsi="Times Baltic" w:hint="eastAsia"/>
                <w:iCs/>
                <w:sz w:val="24"/>
                <w:szCs w:val="24"/>
              </w:rPr>
              <w:t> </w:t>
            </w:r>
            <w:r w:rsidRPr="00C83FA7">
              <w:rPr>
                <w:rFonts w:ascii="Times Baltic" w:hAnsi="Times Baltic"/>
                <w:iCs/>
                <w:sz w:val="24"/>
                <w:szCs w:val="24"/>
              </w:rPr>
              <w:t>punkts ierobežo atlases īstenošanas termiņu, proti,  atlase var tikt īstenota ne ilgāk kā līdz 2021.</w:t>
            </w:r>
            <w:r>
              <w:rPr>
                <w:rFonts w:ascii="Times Baltic" w:hAnsi="Times Baltic" w:hint="eastAsia"/>
                <w:iCs/>
                <w:sz w:val="24"/>
                <w:szCs w:val="24"/>
              </w:rPr>
              <w:t> </w:t>
            </w:r>
            <w:r w:rsidRPr="00C83FA7">
              <w:rPr>
                <w:rFonts w:ascii="Times Baltic" w:hAnsi="Times Baltic"/>
                <w:iCs/>
                <w:sz w:val="24"/>
                <w:szCs w:val="24"/>
              </w:rPr>
              <w:t>gada 30.</w:t>
            </w:r>
            <w:r>
              <w:rPr>
                <w:rFonts w:ascii="Times Baltic" w:hAnsi="Times Baltic" w:hint="eastAsia"/>
                <w:iCs/>
                <w:sz w:val="24"/>
                <w:szCs w:val="24"/>
              </w:rPr>
              <w:t> </w:t>
            </w:r>
            <w:r w:rsidRPr="00C83FA7">
              <w:rPr>
                <w:rFonts w:ascii="Times Baltic" w:hAnsi="Times Baltic"/>
                <w:iCs/>
                <w:sz w:val="24"/>
                <w:szCs w:val="24"/>
              </w:rPr>
              <w:t>septembrim, tad šobrīd jauna atlase netiek plānota un pēdējais pieteikumu iesniegšanas termiņš ir š.</w:t>
            </w:r>
            <w:r>
              <w:rPr>
                <w:rFonts w:ascii="Times Baltic" w:hAnsi="Times Baltic" w:hint="eastAsia"/>
                <w:iCs/>
                <w:sz w:val="24"/>
                <w:szCs w:val="24"/>
              </w:rPr>
              <w:t> </w:t>
            </w:r>
            <w:r w:rsidRPr="00C83FA7">
              <w:rPr>
                <w:rFonts w:ascii="Times Baltic" w:hAnsi="Times Baltic"/>
                <w:iCs/>
                <w:sz w:val="24"/>
                <w:szCs w:val="24"/>
              </w:rPr>
              <w:t>g. 6.</w:t>
            </w:r>
            <w:r>
              <w:rPr>
                <w:rFonts w:ascii="Times Baltic" w:hAnsi="Times Baltic" w:hint="eastAsia"/>
                <w:iCs/>
                <w:sz w:val="24"/>
                <w:szCs w:val="24"/>
              </w:rPr>
              <w:t> </w:t>
            </w:r>
            <w:r w:rsidRPr="00C83FA7">
              <w:rPr>
                <w:rFonts w:ascii="Times Baltic" w:hAnsi="Times Baltic"/>
                <w:iCs/>
                <w:sz w:val="24"/>
                <w:szCs w:val="24"/>
              </w:rPr>
              <w:t>septembris.</w:t>
            </w:r>
          </w:p>
          <w:p w14:paraId="5309E481" w14:textId="4F2C4156" w:rsidR="00243A81" w:rsidRPr="00D27BD7" w:rsidRDefault="00C83FA7" w:rsidP="00C83FA7">
            <w:pPr>
              <w:spacing w:after="160" w:line="276" w:lineRule="auto"/>
              <w:jc w:val="both"/>
              <w:rPr>
                <w:rFonts w:ascii="Times" w:hAnsi="Times" w:cs="Times"/>
                <w:iCs/>
                <w:color w:val="222222"/>
                <w:sz w:val="24"/>
                <w:szCs w:val="24"/>
                <w:lang w:eastAsia="lv-LV"/>
              </w:rPr>
            </w:pPr>
            <w:r>
              <w:rPr>
                <w:rFonts w:ascii="Times Baltic" w:hAnsi="Times Baltic"/>
                <w:iCs/>
                <w:sz w:val="24"/>
                <w:szCs w:val="24"/>
              </w:rPr>
              <w:t>Process, l</w:t>
            </w:r>
            <w:r w:rsidRPr="00C83FA7">
              <w:rPr>
                <w:rFonts w:ascii="Times Baltic" w:hAnsi="Times Baltic"/>
                <w:iCs/>
                <w:sz w:val="24"/>
                <w:szCs w:val="24"/>
              </w:rPr>
              <w:t>ai nokļūtu biržā, nav ātrs, taču, lai pieteiktos atbalstam</w:t>
            </w:r>
            <w:r>
              <w:rPr>
                <w:rFonts w:ascii="Times Baltic" w:hAnsi="Times Baltic"/>
                <w:iCs/>
                <w:sz w:val="24"/>
                <w:szCs w:val="24"/>
              </w:rPr>
              <w:t xml:space="preserve"> SAMP</w:t>
            </w:r>
            <w:r w:rsidRPr="00C83FA7">
              <w:rPr>
                <w:rFonts w:ascii="Times Baltic" w:hAnsi="Times Baltic"/>
                <w:iCs/>
                <w:sz w:val="24"/>
                <w:szCs w:val="24"/>
              </w:rPr>
              <w:t xml:space="preserve"> 3.1.1.3.</w:t>
            </w:r>
            <w:r>
              <w:rPr>
                <w:rFonts w:ascii="Times Baltic" w:hAnsi="Times Baltic"/>
                <w:iCs/>
                <w:sz w:val="24"/>
                <w:szCs w:val="24"/>
              </w:rPr>
              <w:t xml:space="preserve">, </w:t>
            </w:r>
            <w:r w:rsidRPr="00C83FA7">
              <w:rPr>
                <w:rFonts w:ascii="Times Baltic" w:hAnsi="Times Baltic"/>
                <w:iCs/>
                <w:sz w:val="24"/>
                <w:szCs w:val="24"/>
              </w:rPr>
              <w:t xml:space="preserve">jāizpilda </w:t>
            </w:r>
            <w:r>
              <w:rPr>
                <w:rFonts w:ascii="Times Baltic" w:hAnsi="Times Baltic"/>
                <w:iCs/>
                <w:sz w:val="24"/>
                <w:szCs w:val="24"/>
              </w:rPr>
              <w:t>atlases nolikumā noteiktās</w:t>
            </w:r>
            <w:r w:rsidRPr="00C83FA7">
              <w:rPr>
                <w:rFonts w:ascii="Times Baltic" w:hAnsi="Times Baltic"/>
                <w:iCs/>
                <w:sz w:val="24"/>
                <w:szCs w:val="24"/>
              </w:rPr>
              <w:t xml:space="preserve"> minimālās prasības, </w:t>
            </w:r>
            <w:r>
              <w:rPr>
                <w:rFonts w:ascii="Times Baltic" w:hAnsi="Times Baltic"/>
                <w:iCs/>
                <w:sz w:val="24"/>
                <w:szCs w:val="24"/>
              </w:rPr>
              <w:t>s</w:t>
            </w:r>
            <w:r w:rsidRPr="00C83FA7">
              <w:rPr>
                <w:rFonts w:ascii="Times Baltic" w:hAnsi="Times Baltic"/>
                <w:iCs/>
                <w:sz w:val="24"/>
                <w:szCs w:val="24"/>
              </w:rPr>
              <w:t xml:space="preserve">avukārt pārējās darbības, kas saistītas tieši ar gatavošanos emisijai, piemēram, sabiedrības pārveide no SIA uz AS (ja attiecināms), līgumu slēgšana, kļūšana par biržas dalībnieku, u. tml. </w:t>
            </w:r>
            <w:r>
              <w:rPr>
                <w:rFonts w:ascii="Times Baltic" w:hAnsi="Times Baltic"/>
                <w:iCs/>
                <w:sz w:val="24"/>
                <w:szCs w:val="24"/>
              </w:rPr>
              <w:t>–</w:t>
            </w:r>
            <w:r w:rsidRPr="00C83FA7">
              <w:rPr>
                <w:rFonts w:ascii="Times Baltic" w:hAnsi="Times Baltic"/>
                <w:iCs/>
                <w:sz w:val="24"/>
                <w:szCs w:val="24"/>
              </w:rPr>
              <w:t xml:space="preserve"> veicamas divu gadu laikā no līguma par projekta īstenošanu noslēgšanas.</w:t>
            </w:r>
          </w:p>
        </w:tc>
      </w:tr>
      <w:tr w:rsidR="00243A81" w:rsidRPr="00934856" w14:paraId="729EFD56" w14:textId="77777777" w:rsidTr="00916DFD">
        <w:tc>
          <w:tcPr>
            <w:tcW w:w="9639" w:type="dxa"/>
            <w:shd w:val="clear" w:color="auto" w:fill="DBDBDB" w:themeFill="accent3" w:themeFillTint="66"/>
          </w:tcPr>
          <w:p w14:paraId="0B4FEC56" w14:textId="77777777" w:rsidR="00D27BD7" w:rsidRDefault="00D27BD7" w:rsidP="005173E8">
            <w:pPr>
              <w:spacing w:after="160" w:line="276" w:lineRule="auto"/>
              <w:ind w:left="-6"/>
              <w:jc w:val="both"/>
              <w:rPr>
                <w:rFonts w:ascii="Times" w:hAnsi="Times"/>
                <w:sz w:val="24"/>
                <w:szCs w:val="24"/>
              </w:rPr>
            </w:pPr>
            <w:r>
              <w:rPr>
                <w:rFonts w:ascii="Times" w:hAnsi="Times"/>
                <w:sz w:val="24"/>
                <w:szCs w:val="24"/>
              </w:rPr>
              <w:t>4. jautājums:</w:t>
            </w:r>
          </w:p>
          <w:p w14:paraId="0282E52F" w14:textId="0E39A6CC" w:rsidR="00243A81" w:rsidRPr="00D27BD7" w:rsidRDefault="005173E8" w:rsidP="005173E8">
            <w:pPr>
              <w:spacing w:after="160" w:line="276" w:lineRule="auto"/>
              <w:ind w:left="-6"/>
              <w:jc w:val="both"/>
              <w:rPr>
                <w:rFonts w:ascii="Times" w:hAnsi="Times"/>
                <w:sz w:val="24"/>
                <w:szCs w:val="24"/>
              </w:rPr>
            </w:pPr>
            <w:r w:rsidRPr="005173E8">
              <w:rPr>
                <w:rFonts w:ascii="Times" w:hAnsi="Times"/>
                <w:sz w:val="24"/>
                <w:szCs w:val="24"/>
              </w:rPr>
              <w:lastRenderedPageBreak/>
              <w:t>First North tirgus dalībnieks</w:t>
            </w:r>
            <w:r>
              <w:rPr>
                <w:rFonts w:ascii="Times" w:hAnsi="Times"/>
                <w:sz w:val="24"/>
                <w:szCs w:val="24"/>
              </w:rPr>
              <w:t xml:space="preserve"> jau</w:t>
            </w:r>
            <w:r w:rsidRPr="005173E8">
              <w:rPr>
                <w:rFonts w:ascii="Times" w:hAnsi="Times"/>
                <w:sz w:val="24"/>
                <w:szCs w:val="24"/>
              </w:rPr>
              <w:t xml:space="preserve"> ir apstiprinājis pamatkapitāla palielināšanas note</w:t>
            </w:r>
            <w:r>
              <w:rPr>
                <w:rFonts w:ascii="Times" w:hAnsi="Times"/>
                <w:sz w:val="24"/>
                <w:szCs w:val="24"/>
              </w:rPr>
              <w:t>i</w:t>
            </w:r>
            <w:r w:rsidRPr="005173E8">
              <w:rPr>
                <w:rFonts w:ascii="Times" w:hAnsi="Times"/>
                <w:sz w:val="24"/>
                <w:szCs w:val="24"/>
              </w:rPr>
              <w:t>kumus, emitējot jaunas akcijas, kam noteikt</w:t>
            </w:r>
            <w:r w:rsidR="00AF5174">
              <w:rPr>
                <w:rFonts w:ascii="Times" w:hAnsi="Times"/>
                <w:sz w:val="24"/>
                <w:szCs w:val="24"/>
              </w:rPr>
              <w:t>ai</w:t>
            </w:r>
            <w:r w:rsidRPr="005173E8">
              <w:rPr>
                <w:rFonts w:ascii="Times" w:hAnsi="Times"/>
                <w:sz w:val="24"/>
                <w:szCs w:val="24"/>
              </w:rPr>
              <w:t xml:space="preserve">s parakstīšanas termiņš </w:t>
            </w:r>
            <w:r>
              <w:rPr>
                <w:rFonts w:ascii="Times" w:hAnsi="Times"/>
                <w:sz w:val="24"/>
                <w:szCs w:val="24"/>
              </w:rPr>
              <w:t>vēl nav pagājis</w:t>
            </w:r>
            <w:r w:rsidRPr="005173E8">
              <w:rPr>
                <w:rFonts w:ascii="Times" w:hAnsi="Times"/>
                <w:sz w:val="24"/>
                <w:szCs w:val="24"/>
              </w:rPr>
              <w:t>. Finanšu instrumentu tirgus likuma 16.1. punktam atbilstošs piedāvājuma dokuments vēl nav sagatavots (taču ir plānots).</w:t>
            </w:r>
            <w:r>
              <w:rPr>
                <w:rFonts w:ascii="Times" w:hAnsi="Times"/>
                <w:sz w:val="24"/>
                <w:szCs w:val="24"/>
              </w:rPr>
              <w:t xml:space="preserve"> Projekta iesniegums vēl nav iesniegts. Vai šāds uzņēmums</w:t>
            </w:r>
            <w:r w:rsidRPr="005173E8">
              <w:rPr>
                <w:rFonts w:ascii="Times" w:hAnsi="Times"/>
                <w:sz w:val="24"/>
                <w:szCs w:val="24"/>
              </w:rPr>
              <w:t xml:space="preserve"> </w:t>
            </w:r>
            <w:r>
              <w:rPr>
                <w:rFonts w:ascii="Times" w:hAnsi="Times"/>
                <w:sz w:val="24"/>
                <w:szCs w:val="24"/>
              </w:rPr>
              <w:t>var pretendēt uz atbalstu SAMP 3.1.1.3.?</w:t>
            </w:r>
          </w:p>
        </w:tc>
      </w:tr>
      <w:tr w:rsidR="00243A81" w:rsidRPr="00934856" w14:paraId="07B695E6" w14:textId="77777777" w:rsidTr="00916DFD">
        <w:tc>
          <w:tcPr>
            <w:tcW w:w="9639" w:type="dxa"/>
            <w:shd w:val="clear" w:color="auto" w:fill="FFFFFF" w:themeFill="background1"/>
          </w:tcPr>
          <w:p w14:paraId="23FA2733" w14:textId="77777777" w:rsidR="00D27BD7" w:rsidRPr="00D27BD7" w:rsidRDefault="00D27BD7" w:rsidP="00D27BD7">
            <w:pPr>
              <w:spacing w:after="160" w:line="276" w:lineRule="auto"/>
              <w:jc w:val="both"/>
              <w:rPr>
                <w:rFonts w:ascii="Times Baltic" w:hAnsi="Times Baltic"/>
                <w:iCs/>
                <w:sz w:val="24"/>
                <w:szCs w:val="24"/>
              </w:rPr>
            </w:pPr>
            <w:r w:rsidRPr="00D27BD7">
              <w:rPr>
                <w:rFonts w:ascii="Times Baltic" w:hAnsi="Times Baltic"/>
                <w:iCs/>
                <w:sz w:val="24"/>
                <w:szCs w:val="24"/>
              </w:rPr>
              <w:lastRenderedPageBreak/>
              <w:t>Atbilde uz 4. jautājumu:</w:t>
            </w:r>
          </w:p>
          <w:p w14:paraId="730D67F1" w14:textId="0DFA9A90" w:rsidR="00AF5174" w:rsidRPr="00AF5174" w:rsidRDefault="005173E8" w:rsidP="00D27BD7">
            <w:pPr>
              <w:spacing w:after="160" w:line="276" w:lineRule="auto"/>
              <w:jc w:val="both"/>
              <w:rPr>
                <w:rFonts w:ascii="Times" w:hAnsi="Times"/>
                <w:sz w:val="24"/>
                <w:szCs w:val="24"/>
              </w:rPr>
            </w:pPr>
            <w:r w:rsidRPr="00AF5174">
              <w:rPr>
                <w:rFonts w:ascii="Times" w:hAnsi="Times"/>
                <w:sz w:val="24"/>
                <w:szCs w:val="24"/>
              </w:rPr>
              <w:t xml:space="preserve">MK noteikumu 15.6. apakšpunkts noteic, ka saskaņā ar minēto apakšpunktu projekta iesniedzējs nevar pretendēt uz finansējumu, ja </w:t>
            </w:r>
            <w:r w:rsidRPr="00973C54">
              <w:rPr>
                <w:rFonts w:ascii="Times" w:hAnsi="Times"/>
                <w:b/>
                <w:bCs/>
                <w:sz w:val="24"/>
                <w:szCs w:val="24"/>
              </w:rPr>
              <w:t>projekta iesnieguma iesniegšanas brīdī</w:t>
            </w:r>
            <w:r w:rsidRPr="00AF5174">
              <w:rPr>
                <w:rFonts w:ascii="Times" w:hAnsi="Times"/>
                <w:sz w:val="24"/>
                <w:szCs w:val="24"/>
              </w:rPr>
              <w:t xml:space="preserve"> sadarbības iestādei </w:t>
            </w:r>
            <w:r w:rsidR="00973C54">
              <w:rPr>
                <w:rFonts w:ascii="Times" w:hAnsi="Times"/>
                <w:sz w:val="24"/>
                <w:szCs w:val="24"/>
              </w:rPr>
              <w:t xml:space="preserve">tas </w:t>
            </w:r>
            <w:r w:rsidRPr="00AF5174">
              <w:rPr>
                <w:rFonts w:ascii="Times" w:hAnsi="Times"/>
                <w:sz w:val="24"/>
                <w:szCs w:val="24"/>
              </w:rPr>
              <w:t xml:space="preserve">tirdzniecības vietā </w:t>
            </w:r>
            <w:r w:rsidRPr="00973C54">
              <w:rPr>
                <w:rFonts w:ascii="Times" w:hAnsi="Times"/>
                <w:b/>
                <w:bCs/>
                <w:sz w:val="24"/>
                <w:szCs w:val="24"/>
              </w:rPr>
              <w:t>nav emitējis visas spēkā esošās emisijas prospektā norādītās</w:t>
            </w:r>
            <w:r w:rsidRPr="00AF5174">
              <w:rPr>
                <w:rFonts w:ascii="Times" w:hAnsi="Times"/>
                <w:sz w:val="24"/>
                <w:szCs w:val="24"/>
              </w:rPr>
              <w:t xml:space="preserve"> akcijas vai obligācijas.</w:t>
            </w:r>
          </w:p>
          <w:p w14:paraId="722C5D38" w14:textId="706F658E" w:rsidR="00AF5174" w:rsidRPr="00AF5174" w:rsidRDefault="00AF5174" w:rsidP="00D27BD7">
            <w:pPr>
              <w:spacing w:after="160" w:line="276" w:lineRule="auto"/>
              <w:jc w:val="both"/>
              <w:rPr>
                <w:rFonts w:ascii="Times" w:hAnsi="Times"/>
                <w:sz w:val="24"/>
                <w:szCs w:val="24"/>
              </w:rPr>
            </w:pPr>
            <w:r w:rsidRPr="00AF5174">
              <w:rPr>
                <w:rFonts w:ascii="Times" w:hAnsi="Times"/>
                <w:sz w:val="24"/>
                <w:szCs w:val="24"/>
              </w:rPr>
              <w:t>Šajā gadījumā jāvērtē, vai</w:t>
            </w:r>
            <w:r>
              <w:rPr>
                <w:rFonts w:ascii="Times" w:hAnsi="Times"/>
                <w:sz w:val="24"/>
                <w:szCs w:val="24"/>
              </w:rPr>
              <w:t xml:space="preserve"> komersants līdz projekta iesnieguma iesniegšanas brīdim CFLA</w:t>
            </w:r>
            <w:r w:rsidRPr="00AF5174">
              <w:rPr>
                <w:rFonts w:ascii="Times" w:hAnsi="Times"/>
                <w:sz w:val="24"/>
                <w:szCs w:val="24"/>
              </w:rPr>
              <w:t xml:space="preserve"> tirdzniecības vietas tīmekļa vietnē tikai nopublicējis informāciju par akcionāru sapulcē apstiprinātiem pamatkapitāla palielināšanas noteikumiem, vai arī jau sagatavojis </w:t>
            </w:r>
            <w:proofErr w:type="spellStart"/>
            <w:r w:rsidRPr="00AF5174">
              <w:rPr>
                <w:rFonts w:ascii="Times" w:hAnsi="Times"/>
                <w:sz w:val="24"/>
                <w:szCs w:val="24"/>
              </w:rPr>
              <w:t>piedvājuma</w:t>
            </w:r>
            <w:proofErr w:type="spellEnd"/>
            <w:r w:rsidRPr="00AF5174">
              <w:rPr>
                <w:rFonts w:ascii="Times" w:hAnsi="Times"/>
                <w:sz w:val="24"/>
                <w:szCs w:val="24"/>
              </w:rPr>
              <w:t xml:space="preserve"> dokumentu (emisijas prospektu).</w:t>
            </w:r>
          </w:p>
          <w:p w14:paraId="4BF9FD1E" w14:textId="038424EA" w:rsidR="00527FFE" w:rsidRPr="00527FFE" w:rsidRDefault="00AF5174" w:rsidP="00D27BD7">
            <w:pPr>
              <w:spacing w:after="160" w:line="276" w:lineRule="auto"/>
              <w:jc w:val="both"/>
              <w:rPr>
                <w:rFonts w:ascii="Times" w:hAnsi="Times"/>
                <w:sz w:val="24"/>
                <w:szCs w:val="24"/>
              </w:rPr>
            </w:pPr>
            <w:r w:rsidRPr="00527FFE">
              <w:rPr>
                <w:rFonts w:ascii="Times" w:hAnsi="Times"/>
                <w:sz w:val="24"/>
                <w:szCs w:val="24"/>
              </w:rPr>
              <w:t xml:space="preserve">Ja piedāvājuma dokuments (emisijas prospekts) vēl nav sagatavots, </w:t>
            </w:r>
            <w:r w:rsidR="00973C54" w:rsidRPr="00527FFE">
              <w:rPr>
                <w:rFonts w:ascii="Times" w:hAnsi="Times"/>
                <w:sz w:val="24"/>
                <w:szCs w:val="24"/>
              </w:rPr>
              <w:t xml:space="preserve">tad </w:t>
            </w:r>
            <w:r w:rsidR="00527FFE" w:rsidRPr="00527FFE">
              <w:rPr>
                <w:rFonts w:ascii="Times" w:hAnsi="Times"/>
                <w:sz w:val="24"/>
                <w:szCs w:val="24"/>
              </w:rPr>
              <w:t xml:space="preserve">nav uzskatāms, ka </w:t>
            </w:r>
            <w:r w:rsidR="00AE0A87">
              <w:rPr>
                <w:rFonts w:ascii="Times" w:hAnsi="Times"/>
                <w:sz w:val="24"/>
                <w:szCs w:val="24"/>
              </w:rPr>
              <w:t>būtu</w:t>
            </w:r>
            <w:bookmarkStart w:id="0" w:name="_GoBack"/>
            <w:bookmarkEnd w:id="0"/>
            <w:r w:rsidR="00527FFE" w:rsidRPr="00527FFE">
              <w:rPr>
                <w:rFonts w:ascii="Times" w:hAnsi="Times"/>
                <w:sz w:val="24"/>
                <w:szCs w:val="24"/>
              </w:rPr>
              <w:t xml:space="preserve"> iestājusies MK noteikumu 15.6. apakšpunktā minētā situācija, un komersants var pretendēt uz atbalstu SAMP 3.1.1.3., ja vien uz to vienlaikus nav attiecināma kāda cita 15. punkta apakšpunktos minētā situācija. </w:t>
            </w:r>
          </w:p>
          <w:p w14:paraId="521EEEA8" w14:textId="6A12E9E9" w:rsidR="00243A81" w:rsidRPr="00527FFE" w:rsidRDefault="00527FFE" w:rsidP="00D27BD7">
            <w:pPr>
              <w:spacing w:after="160" w:line="276" w:lineRule="auto"/>
              <w:jc w:val="both"/>
              <w:rPr>
                <w:rFonts w:ascii="Times" w:hAnsi="Times"/>
                <w:sz w:val="24"/>
                <w:szCs w:val="24"/>
                <w:highlight w:val="yellow"/>
              </w:rPr>
            </w:pPr>
            <w:r w:rsidRPr="00527FFE">
              <w:rPr>
                <w:rFonts w:ascii="Times" w:hAnsi="Times"/>
                <w:sz w:val="24"/>
                <w:szCs w:val="24"/>
              </w:rPr>
              <w:t xml:space="preserve">Taču, ja komersants jau ir sagatavojis piedāvājuma dokumentu (emisijas prospektu) un ja visas tajā norādītās akcijas vai obligācijas nav emitētas tirdzniecības vietā līdz projekta iesnieguma iesniegšanas brīdim CFLA, tad, ņemot vērā </w:t>
            </w:r>
            <w:r w:rsidRPr="00527FFE">
              <w:rPr>
                <w:rFonts w:ascii="Times" w:hAnsi="Times"/>
                <w:sz w:val="24"/>
                <w:szCs w:val="24"/>
              </w:rPr>
              <w:t>MK noteikumu 15.6. apakšpunkt</w:t>
            </w:r>
            <w:r w:rsidRPr="00527FFE">
              <w:rPr>
                <w:rFonts w:ascii="Times" w:hAnsi="Times"/>
                <w:sz w:val="24"/>
                <w:szCs w:val="24"/>
              </w:rPr>
              <w:t xml:space="preserve">a ierobežojumus, komersants uz atbalstu </w:t>
            </w:r>
            <w:r w:rsidRPr="00527FFE">
              <w:rPr>
                <w:rFonts w:ascii="Times" w:hAnsi="Times"/>
                <w:sz w:val="24"/>
                <w:szCs w:val="24"/>
              </w:rPr>
              <w:t>SAMP 3.1.1.3.</w:t>
            </w:r>
            <w:r>
              <w:rPr>
                <w:rFonts w:ascii="Times" w:hAnsi="Times"/>
                <w:sz w:val="24"/>
                <w:szCs w:val="24"/>
              </w:rPr>
              <w:t xml:space="preserve"> nevarētu pretendēt.</w:t>
            </w:r>
          </w:p>
        </w:tc>
      </w:tr>
      <w:tr w:rsidR="00AF5174" w:rsidRPr="00934856" w14:paraId="5899D1C7" w14:textId="77777777" w:rsidTr="00527FFE">
        <w:tc>
          <w:tcPr>
            <w:tcW w:w="9639" w:type="dxa"/>
            <w:shd w:val="clear" w:color="auto" w:fill="D9D9D9" w:themeFill="background1" w:themeFillShade="D9"/>
          </w:tcPr>
          <w:p w14:paraId="4ED34BE9" w14:textId="77777777" w:rsidR="00AF5174" w:rsidRPr="0008239C" w:rsidRDefault="00527FFE" w:rsidP="00D27BD7">
            <w:pPr>
              <w:spacing w:after="160" w:line="276" w:lineRule="auto"/>
              <w:jc w:val="both"/>
              <w:rPr>
                <w:rFonts w:ascii="Times Baltic" w:hAnsi="Times Baltic"/>
                <w:iCs/>
                <w:sz w:val="24"/>
                <w:szCs w:val="24"/>
              </w:rPr>
            </w:pPr>
            <w:r w:rsidRPr="0008239C">
              <w:rPr>
                <w:rFonts w:ascii="Times Baltic" w:hAnsi="Times Baltic"/>
                <w:iCs/>
                <w:sz w:val="24"/>
                <w:szCs w:val="24"/>
              </w:rPr>
              <w:t>5.</w:t>
            </w:r>
            <w:r w:rsidRPr="0008239C">
              <w:rPr>
                <w:rFonts w:ascii="Times Baltic" w:hAnsi="Times Baltic" w:hint="eastAsia"/>
                <w:iCs/>
                <w:sz w:val="24"/>
                <w:szCs w:val="24"/>
              </w:rPr>
              <w:t> </w:t>
            </w:r>
            <w:r w:rsidRPr="0008239C">
              <w:rPr>
                <w:rFonts w:ascii="Times Baltic" w:hAnsi="Times Baltic"/>
                <w:iCs/>
                <w:sz w:val="24"/>
                <w:szCs w:val="24"/>
              </w:rPr>
              <w:t>jautājums:</w:t>
            </w:r>
          </w:p>
          <w:p w14:paraId="31B71B29" w14:textId="300A459E" w:rsidR="00527FFE" w:rsidRPr="0008239C" w:rsidRDefault="0008239C" w:rsidP="0008239C">
            <w:pPr>
              <w:spacing w:after="160" w:line="276" w:lineRule="auto"/>
              <w:jc w:val="both"/>
              <w:rPr>
                <w:rFonts w:ascii="Times Baltic" w:hAnsi="Times Baltic"/>
                <w:iCs/>
                <w:sz w:val="24"/>
                <w:szCs w:val="24"/>
              </w:rPr>
            </w:pPr>
            <w:r>
              <w:rPr>
                <w:rFonts w:ascii="Times New Roman" w:hAnsi="Times New Roman"/>
                <w:sz w:val="24"/>
                <w:szCs w:val="24"/>
                <w:lang w:eastAsia="lv-LV"/>
              </w:rPr>
              <w:t>P</w:t>
            </w:r>
            <w:r>
              <w:rPr>
                <w:rFonts w:ascii="Times New Roman" w:hAnsi="Times New Roman"/>
                <w:sz w:val="24"/>
                <w:szCs w:val="24"/>
                <w:lang w:eastAsia="lv-LV"/>
              </w:rPr>
              <w:t>iesakoties atbalstam, projekta iesnieguma veidlapas 7. sadaļā “Valsts atbalsta jautājumi” ir jānorāda regula, saskaņā ar kuru tiek pretendēts uz finansējumu</w:t>
            </w:r>
            <w:r>
              <w:rPr>
                <w:rFonts w:ascii="Times New Roman" w:hAnsi="Times New Roman"/>
                <w:sz w:val="24"/>
                <w:szCs w:val="24"/>
                <w:lang w:eastAsia="lv-LV"/>
              </w:rPr>
              <w:t>. Ko tas nozīmē? Kāda ir atšķirība?</w:t>
            </w:r>
            <w:r w:rsidRPr="0008239C">
              <w:rPr>
                <w:rFonts w:ascii="Times Baltic" w:hAnsi="Times Baltic"/>
                <w:iCs/>
                <w:sz w:val="24"/>
                <w:szCs w:val="24"/>
              </w:rPr>
              <w:t xml:space="preserve"> </w:t>
            </w:r>
          </w:p>
        </w:tc>
      </w:tr>
      <w:tr w:rsidR="00AF5174" w:rsidRPr="00934856" w14:paraId="4DF60B39" w14:textId="77777777" w:rsidTr="00916DFD">
        <w:tc>
          <w:tcPr>
            <w:tcW w:w="9639" w:type="dxa"/>
            <w:shd w:val="clear" w:color="auto" w:fill="FFFFFF" w:themeFill="background1"/>
          </w:tcPr>
          <w:p w14:paraId="0927F534" w14:textId="77777777" w:rsidR="00AF5174" w:rsidRPr="0008239C" w:rsidRDefault="00527FFE" w:rsidP="00D27BD7">
            <w:pPr>
              <w:spacing w:after="160" w:line="276" w:lineRule="auto"/>
              <w:jc w:val="both"/>
              <w:rPr>
                <w:rFonts w:ascii="Times Baltic" w:hAnsi="Times Baltic"/>
                <w:iCs/>
                <w:sz w:val="24"/>
                <w:szCs w:val="24"/>
              </w:rPr>
            </w:pPr>
            <w:r w:rsidRPr="0008239C">
              <w:rPr>
                <w:rFonts w:ascii="Times Baltic" w:hAnsi="Times Baltic"/>
                <w:iCs/>
                <w:sz w:val="24"/>
                <w:szCs w:val="24"/>
              </w:rPr>
              <w:t>Atbilde uz 5.</w:t>
            </w:r>
            <w:r w:rsidRPr="0008239C">
              <w:rPr>
                <w:rFonts w:ascii="Times Baltic" w:hAnsi="Times Baltic" w:hint="eastAsia"/>
                <w:iCs/>
                <w:sz w:val="24"/>
                <w:szCs w:val="24"/>
              </w:rPr>
              <w:t> </w:t>
            </w:r>
            <w:r w:rsidRPr="0008239C">
              <w:rPr>
                <w:rFonts w:ascii="Times Baltic" w:hAnsi="Times Baltic"/>
                <w:iCs/>
                <w:sz w:val="24"/>
                <w:szCs w:val="24"/>
              </w:rPr>
              <w:t>jautājumu:</w:t>
            </w:r>
          </w:p>
          <w:p w14:paraId="2AE0DD8D" w14:textId="1960CEE6" w:rsidR="0008239C" w:rsidRDefault="0008239C" w:rsidP="00D27BD7">
            <w:pPr>
              <w:spacing w:after="160" w:line="276" w:lineRule="auto"/>
              <w:jc w:val="both"/>
              <w:rPr>
                <w:rFonts w:ascii="Times New Roman" w:hAnsi="Times New Roman"/>
                <w:sz w:val="24"/>
                <w:szCs w:val="24"/>
                <w:lang w:eastAsia="lv-LV"/>
              </w:rPr>
            </w:pPr>
            <w:r w:rsidRPr="0008239C">
              <w:rPr>
                <w:rFonts w:ascii="Times New Roman" w:hAnsi="Times New Roman"/>
                <w:sz w:val="24"/>
                <w:szCs w:val="24"/>
                <w:lang w:eastAsia="lv-LV"/>
              </w:rPr>
              <w:t xml:space="preserve">MK noteikumu 12. punkts paredz, ka atbalstu pasākuma ietvaros var piešķirt ne tikai saskaņā ar Komisijas regulu Nr. 651/2014, bet arī saskaņā ar Komisijas Regulu Nr. 1407/2013 (kā </w:t>
            </w:r>
            <w:proofErr w:type="spellStart"/>
            <w:r w:rsidRPr="0008239C">
              <w:rPr>
                <w:rFonts w:ascii="Times New Roman" w:hAnsi="Times New Roman"/>
                <w:i/>
                <w:iCs/>
                <w:sz w:val="24"/>
                <w:szCs w:val="24"/>
                <w:lang w:eastAsia="lv-LV"/>
              </w:rPr>
              <w:t>de</w:t>
            </w:r>
            <w:proofErr w:type="spellEnd"/>
            <w:r w:rsidRPr="0008239C">
              <w:rPr>
                <w:rFonts w:ascii="Times New Roman" w:hAnsi="Times New Roman"/>
                <w:i/>
                <w:iCs/>
                <w:sz w:val="24"/>
                <w:szCs w:val="24"/>
                <w:lang w:eastAsia="lv-LV"/>
              </w:rPr>
              <w:t> </w:t>
            </w:r>
            <w:proofErr w:type="spellStart"/>
            <w:r w:rsidRPr="0008239C">
              <w:rPr>
                <w:rFonts w:ascii="Times New Roman" w:hAnsi="Times New Roman"/>
                <w:i/>
                <w:iCs/>
                <w:sz w:val="24"/>
                <w:szCs w:val="24"/>
                <w:lang w:eastAsia="lv-LV"/>
              </w:rPr>
              <w:t>minimis</w:t>
            </w:r>
            <w:proofErr w:type="spellEnd"/>
            <w:r w:rsidRPr="0008239C">
              <w:rPr>
                <w:rFonts w:ascii="Times New Roman" w:hAnsi="Times New Roman"/>
                <w:sz w:val="24"/>
                <w:szCs w:val="24"/>
                <w:lang w:eastAsia="lv-LV"/>
              </w:rPr>
              <w:t xml:space="preserve"> atbalstu).</w:t>
            </w:r>
            <w:r>
              <w:rPr>
                <w:rFonts w:ascii="Times New Roman" w:hAnsi="Times New Roman"/>
                <w:sz w:val="24"/>
                <w:szCs w:val="24"/>
                <w:lang w:eastAsia="lv-LV"/>
              </w:rPr>
              <w:t xml:space="preserve"> Komersantam ir </w:t>
            </w:r>
            <w:r w:rsidRPr="0008239C">
              <w:rPr>
                <w:rFonts w:ascii="Times New Roman" w:hAnsi="Times New Roman"/>
                <w:sz w:val="24"/>
                <w:szCs w:val="24"/>
                <w:lang w:eastAsia="lv-LV"/>
              </w:rPr>
              <w:t>jāsaprot, saskaņā ar kuru regulējumu plānojat pieteikties ERAF finansējumam:</w:t>
            </w:r>
          </w:p>
          <w:p w14:paraId="0FA02532" w14:textId="79EACDFB" w:rsidR="0008239C" w:rsidRPr="00B4640E" w:rsidRDefault="0008239C" w:rsidP="0008239C">
            <w:pPr>
              <w:numPr>
                <w:ilvl w:val="1"/>
                <w:numId w:val="4"/>
              </w:numPr>
              <w:spacing w:line="276" w:lineRule="auto"/>
              <w:ind w:left="420"/>
              <w:jc w:val="both"/>
              <w:rPr>
                <w:rFonts w:ascii="Times New Roman" w:hAnsi="Times New Roman"/>
                <w:sz w:val="24"/>
                <w:szCs w:val="24"/>
              </w:rPr>
            </w:pPr>
            <w:proofErr w:type="spellStart"/>
            <w:r>
              <w:rPr>
                <w:rFonts w:ascii="Times New Roman" w:hAnsi="Times New Roman"/>
                <w:i/>
                <w:iCs/>
                <w:sz w:val="24"/>
                <w:szCs w:val="24"/>
              </w:rPr>
              <w:t>d</w:t>
            </w:r>
            <w:r w:rsidRPr="00B4640E">
              <w:rPr>
                <w:rFonts w:ascii="Times New Roman" w:hAnsi="Times New Roman"/>
                <w:i/>
                <w:iCs/>
                <w:sz w:val="24"/>
                <w:szCs w:val="24"/>
              </w:rPr>
              <w:t>e</w:t>
            </w:r>
            <w:proofErr w:type="spellEnd"/>
            <w:r>
              <w:rPr>
                <w:rFonts w:ascii="Times New Roman" w:hAnsi="Times New Roman"/>
                <w:i/>
                <w:iCs/>
                <w:sz w:val="24"/>
                <w:szCs w:val="24"/>
              </w:rPr>
              <w:t> </w:t>
            </w:r>
            <w:proofErr w:type="spellStart"/>
            <w:r w:rsidRPr="00B4640E">
              <w:rPr>
                <w:rFonts w:ascii="Times New Roman" w:hAnsi="Times New Roman"/>
                <w:i/>
                <w:iCs/>
                <w:sz w:val="24"/>
                <w:szCs w:val="24"/>
              </w:rPr>
              <w:t>minimis</w:t>
            </w:r>
            <w:proofErr w:type="spellEnd"/>
            <w:r w:rsidRPr="00B4640E">
              <w:rPr>
                <w:rFonts w:ascii="Times New Roman" w:hAnsi="Times New Roman"/>
                <w:sz w:val="24"/>
                <w:szCs w:val="24"/>
              </w:rPr>
              <w:t xml:space="preserve"> atbalsta regulējumam ir salīdzinoši vienkāršākas prasības, līdz ar to, ja vien Jūsu uzņēmumam ir pieejams </w:t>
            </w:r>
            <w:proofErr w:type="spellStart"/>
            <w:r w:rsidRPr="00B4640E">
              <w:rPr>
                <w:rFonts w:ascii="Times New Roman" w:hAnsi="Times New Roman"/>
                <w:i/>
                <w:iCs/>
                <w:sz w:val="24"/>
                <w:szCs w:val="24"/>
              </w:rPr>
              <w:t>de</w:t>
            </w:r>
            <w:proofErr w:type="spellEnd"/>
            <w:r>
              <w:rPr>
                <w:rFonts w:ascii="Times New Roman" w:hAnsi="Times New Roman"/>
                <w:i/>
                <w:iCs/>
                <w:sz w:val="24"/>
                <w:szCs w:val="24"/>
              </w:rPr>
              <w:t> </w:t>
            </w:r>
            <w:proofErr w:type="spellStart"/>
            <w:r w:rsidRPr="00B4640E">
              <w:rPr>
                <w:rFonts w:ascii="Times New Roman" w:hAnsi="Times New Roman"/>
                <w:i/>
                <w:iCs/>
                <w:sz w:val="24"/>
                <w:szCs w:val="24"/>
              </w:rPr>
              <w:t>minimis</w:t>
            </w:r>
            <w:proofErr w:type="spellEnd"/>
            <w:r w:rsidRPr="00B4640E">
              <w:rPr>
                <w:rFonts w:ascii="Times New Roman" w:hAnsi="Times New Roman"/>
                <w:sz w:val="24"/>
                <w:szCs w:val="24"/>
              </w:rPr>
              <w:t xml:space="preserve"> finansējums, aicinām izvēlēties šo regulējumu. Par </w:t>
            </w:r>
            <w:proofErr w:type="spellStart"/>
            <w:r w:rsidRPr="00B4640E">
              <w:rPr>
                <w:rFonts w:ascii="Times New Roman" w:hAnsi="Times New Roman"/>
                <w:i/>
                <w:iCs/>
                <w:sz w:val="24"/>
                <w:szCs w:val="24"/>
              </w:rPr>
              <w:t>de</w:t>
            </w:r>
            <w:proofErr w:type="spellEnd"/>
            <w:r>
              <w:rPr>
                <w:rFonts w:ascii="Times New Roman" w:hAnsi="Times New Roman"/>
                <w:i/>
                <w:iCs/>
                <w:sz w:val="24"/>
                <w:szCs w:val="24"/>
              </w:rPr>
              <w:t> </w:t>
            </w:r>
            <w:proofErr w:type="spellStart"/>
            <w:r w:rsidRPr="00B4640E">
              <w:rPr>
                <w:rFonts w:ascii="Times New Roman" w:hAnsi="Times New Roman"/>
                <w:i/>
                <w:iCs/>
                <w:sz w:val="24"/>
                <w:szCs w:val="24"/>
              </w:rPr>
              <w:t>minimis</w:t>
            </w:r>
            <w:proofErr w:type="spellEnd"/>
            <w:r w:rsidRPr="00B4640E">
              <w:rPr>
                <w:rFonts w:ascii="Times New Roman" w:hAnsi="Times New Roman"/>
                <w:sz w:val="24"/>
                <w:szCs w:val="24"/>
              </w:rPr>
              <w:t xml:space="preserve"> finansējuma pieejamību var pārliecināties, no VID Elektroniskās deklarēšanās sistēmas pieslēdzoties </w:t>
            </w:r>
            <w:proofErr w:type="spellStart"/>
            <w:r w:rsidRPr="00B4640E">
              <w:rPr>
                <w:rFonts w:ascii="Times New Roman" w:hAnsi="Times New Roman"/>
                <w:i/>
                <w:iCs/>
                <w:sz w:val="24"/>
                <w:szCs w:val="24"/>
              </w:rPr>
              <w:t>De</w:t>
            </w:r>
            <w:proofErr w:type="spellEnd"/>
            <w:r>
              <w:rPr>
                <w:rFonts w:ascii="Times New Roman" w:hAnsi="Times New Roman"/>
                <w:i/>
                <w:iCs/>
                <w:sz w:val="24"/>
                <w:szCs w:val="24"/>
              </w:rPr>
              <w:t> </w:t>
            </w:r>
            <w:proofErr w:type="spellStart"/>
            <w:r w:rsidRPr="00B4640E">
              <w:rPr>
                <w:rFonts w:ascii="Times New Roman" w:hAnsi="Times New Roman"/>
                <w:i/>
                <w:iCs/>
                <w:sz w:val="24"/>
                <w:szCs w:val="24"/>
              </w:rPr>
              <w:t>minimis</w:t>
            </w:r>
            <w:proofErr w:type="spellEnd"/>
            <w:r w:rsidRPr="00B4640E">
              <w:rPr>
                <w:rFonts w:ascii="Times New Roman" w:hAnsi="Times New Roman"/>
                <w:sz w:val="24"/>
                <w:szCs w:val="24"/>
              </w:rPr>
              <w:t xml:space="preserve"> atbalsta uzskaites sistēmai. Šajā gadījumā pirms projekta </w:t>
            </w:r>
            <w:r>
              <w:rPr>
                <w:rFonts w:ascii="Times New Roman" w:hAnsi="Times New Roman"/>
                <w:sz w:val="24"/>
                <w:szCs w:val="24"/>
              </w:rPr>
              <w:t xml:space="preserve">iesnieguma </w:t>
            </w:r>
            <w:r w:rsidRPr="00B4640E">
              <w:rPr>
                <w:rFonts w:ascii="Times New Roman" w:hAnsi="Times New Roman"/>
                <w:sz w:val="24"/>
                <w:szCs w:val="24"/>
              </w:rPr>
              <w:t>iesniegšanas CFLA jau varat arī slēgt līgumu ar konkrētu emisijas organizētāju un izmantot tā pakalpojumus, kā arī veikt citas projekta darbības, un šīs izmaksas varēsiet iekļaut projekta attiecināmajās izmaksās</w:t>
            </w:r>
            <w:r w:rsidR="00AE0A87">
              <w:rPr>
                <w:rFonts w:ascii="Times New Roman" w:hAnsi="Times New Roman"/>
                <w:sz w:val="24"/>
                <w:szCs w:val="24"/>
              </w:rPr>
              <w:t xml:space="preserve"> (papildu informācija par </w:t>
            </w:r>
            <w:proofErr w:type="spellStart"/>
            <w:r w:rsidR="00AE0A87">
              <w:rPr>
                <w:rFonts w:ascii="Times New Roman" w:hAnsi="Times New Roman"/>
                <w:i/>
                <w:iCs/>
                <w:sz w:val="24"/>
                <w:szCs w:val="24"/>
              </w:rPr>
              <w:t>de</w:t>
            </w:r>
            <w:proofErr w:type="spellEnd"/>
            <w:r w:rsidR="00AE0A87">
              <w:rPr>
                <w:rFonts w:ascii="Times New Roman" w:hAnsi="Times New Roman"/>
                <w:i/>
                <w:iCs/>
                <w:sz w:val="24"/>
                <w:szCs w:val="24"/>
              </w:rPr>
              <w:t> </w:t>
            </w:r>
            <w:proofErr w:type="spellStart"/>
            <w:r w:rsidR="00AE0A87">
              <w:rPr>
                <w:rFonts w:ascii="Times New Roman" w:hAnsi="Times New Roman"/>
                <w:i/>
                <w:iCs/>
                <w:sz w:val="24"/>
                <w:szCs w:val="24"/>
              </w:rPr>
              <w:t>minimis</w:t>
            </w:r>
            <w:proofErr w:type="spellEnd"/>
            <w:r w:rsidR="00AE0A87">
              <w:rPr>
                <w:rFonts w:ascii="Times New Roman" w:hAnsi="Times New Roman"/>
                <w:sz w:val="24"/>
                <w:szCs w:val="24"/>
              </w:rPr>
              <w:t xml:space="preserve"> atbalstu pieejama </w:t>
            </w:r>
            <w:hyperlink r:id="rId10" w:history="1">
              <w:r w:rsidR="00AE0A87" w:rsidRPr="00AE0A87">
                <w:rPr>
                  <w:rStyle w:val="Hyperlink"/>
                  <w:rFonts w:ascii="Times New Roman" w:hAnsi="Times New Roman"/>
                  <w:sz w:val="24"/>
                  <w:szCs w:val="24"/>
                </w:rPr>
                <w:t>CFLA tīmekļvietnē</w:t>
              </w:r>
            </w:hyperlink>
            <w:r w:rsidR="00AE0A87">
              <w:rPr>
                <w:rFonts w:ascii="Times New Roman" w:hAnsi="Times New Roman"/>
                <w:sz w:val="24"/>
                <w:szCs w:val="24"/>
              </w:rPr>
              <w:t>)</w:t>
            </w:r>
            <w:r w:rsidRPr="00B4640E">
              <w:rPr>
                <w:rFonts w:ascii="Times New Roman" w:hAnsi="Times New Roman"/>
                <w:sz w:val="24"/>
                <w:szCs w:val="24"/>
              </w:rPr>
              <w:t>,</w:t>
            </w:r>
          </w:p>
          <w:p w14:paraId="61993794" w14:textId="34A79D3C" w:rsidR="0008239C" w:rsidRPr="0008239C" w:rsidRDefault="0008239C" w:rsidP="0008239C">
            <w:pPr>
              <w:numPr>
                <w:ilvl w:val="1"/>
                <w:numId w:val="4"/>
              </w:numPr>
              <w:spacing w:line="276" w:lineRule="auto"/>
              <w:ind w:left="420"/>
              <w:jc w:val="both"/>
              <w:rPr>
                <w:rFonts w:ascii="Times New Roman" w:hAnsi="Times New Roman"/>
                <w:sz w:val="24"/>
                <w:szCs w:val="24"/>
              </w:rPr>
            </w:pPr>
            <w:r w:rsidRPr="00B4640E">
              <w:rPr>
                <w:rFonts w:ascii="Times New Roman" w:hAnsi="Times New Roman"/>
                <w:sz w:val="24"/>
                <w:szCs w:val="24"/>
              </w:rPr>
              <w:lastRenderedPageBreak/>
              <w:t xml:space="preserve">ja </w:t>
            </w:r>
            <w:proofErr w:type="spellStart"/>
            <w:r w:rsidRPr="00B4640E">
              <w:rPr>
                <w:rFonts w:ascii="Times New Roman" w:hAnsi="Times New Roman"/>
                <w:i/>
                <w:iCs/>
                <w:sz w:val="24"/>
                <w:szCs w:val="24"/>
              </w:rPr>
              <w:t>de</w:t>
            </w:r>
            <w:proofErr w:type="spellEnd"/>
            <w:r>
              <w:rPr>
                <w:rFonts w:ascii="Times New Roman" w:hAnsi="Times New Roman"/>
                <w:i/>
                <w:iCs/>
                <w:sz w:val="24"/>
                <w:szCs w:val="24"/>
              </w:rPr>
              <w:t> </w:t>
            </w:r>
            <w:proofErr w:type="spellStart"/>
            <w:r w:rsidRPr="00B4640E">
              <w:rPr>
                <w:rFonts w:ascii="Times New Roman" w:hAnsi="Times New Roman"/>
                <w:i/>
                <w:iCs/>
                <w:sz w:val="24"/>
                <w:szCs w:val="24"/>
              </w:rPr>
              <w:t>minimis</w:t>
            </w:r>
            <w:proofErr w:type="spellEnd"/>
            <w:r w:rsidRPr="00B4640E">
              <w:rPr>
                <w:rFonts w:ascii="Times New Roman" w:hAnsi="Times New Roman"/>
                <w:i/>
                <w:iCs/>
                <w:sz w:val="24"/>
                <w:szCs w:val="24"/>
              </w:rPr>
              <w:t xml:space="preserve"> </w:t>
            </w:r>
            <w:r w:rsidRPr="00B4640E">
              <w:rPr>
                <w:rFonts w:ascii="Times New Roman" w:hAnsi="Times New Roman"/>
                <w:sz w:val="24"/>
                <w:szCs w:val="24"/>
              </w:rPr>
              <w:t>finansējums uzņēmumam nav pieejams, jāizvēlas Regulas Nr.</w:t>
            </w:r>
            <w:r>
              <w:rPr>
                <w:rFonts w:ascii="Times New Roman" w:hAnsi="Times New Roman"/>
                <w:sz w:val="24"/>
                <w:szCs w:val="24"/>
              </w:rPr>
              <w:t> </w:t>
            </w:r>
            <w:r w:rsidRPr="00B4640E">
              <w:rPr>
                <w:rFonts w:ascii="Times New Roman" w:hAnsi="Times New Roman"/>
                <w:sz w:val="24"/>
                <w:szCs w:val="24"/>
              </w:rPr>
              <w:t>651/2014 regulējums. Šajā gadījumā projekta darbības līdz iesnieguma iesniegšanai nedrīkst uzsākt – maksimālais, ko varat darīt pirms tam, ir izvēlēties pakalpojuma sniedzēju, bet vēl nenoslēgt līgumu vai, ja līgumu vēlaties noslēgt,</w:t>
            </w:r>
            <w:r>
              <w:rPr>
                <w:rFonts w:ascii="Times New Roman" w:hAnsi="Times New Roman"/>
                <w:sz w:val="24"/>
                <w:szCs w:val="24"/>
              </w:rPr>
              <w:t xml:space="preserve"> tad tajā</w:t>
            </w:r>
            <w:r w:rsidRPr="00B4640E">
              <w:rPr>
                <w:rFonts w:ascii="Times New Roman" w:hAnsi="Times New Roman"/>
                <w:sz w:val="24"/>
                <w:szCs w:val="24"/>
              </w:rPr>
              <w:t xml:space="preserve"> atrunāt, ka </w:t>
            </w:r>
            <w:r>
              <w:rPr>
                <w:rFonts w:ascii="Times New Roman" w:hAnsi="Times New Roman"/>
                <w:sz w:val="24"/>
                <w:szCs w:val="24"/>
              </w:rPr>
              <w:t>līgums</w:t>
            </w:r>
            <w:r w:rsidRPr="00B4640E">
              <w:rPr>
                <w:rFonts w:ascii="Times New Roman" w:hAnsi="Times New Roman"/>
                <w:sz w:val="24"/>
                <w:szCs w:val="24"/>
              </w:rPr>
              <w:t xml:space="preserve"> stājas spēkā pēc projekta iesnieguma iesniegšanas CFLA</w:t>
            </w:r>
            <w:r>
              <w:rPr>
                <w:rFonts w:ascii="Times New Roman" w:hAnsi="Times New Roman"/>
                <w:sz w:val="24"/>
                <w:szCs w:val="24"/>
              </w:rPr>
              <w:t xml:space="preserve"> (vienlaikus skatīt arī atbildi uz 2. jautājumu).</w:t>
            </w:r>
          </w:p>
        </w:tc>
      </w:tr>
    </w:tbl>
    <w:p w14:paraId="4171C04A" w14:textId="77777777" w:rsidR="00934856" w:rsidRDefault="00934856" w:rsidP="00D27BD7">
      <w:pPr>
        <w:spacing w:line="276" w:lineRule="auto"/>
      </w:pPr>
    </w:p>
    <w:sectPr w:rsidR="00934856" w:rsidSect="00A350DB">
      <w:pgSz w:w="11906" w:h="16838"/>
      <w:pgMar w:top="118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D23F3" w14:textId="77777777" w:rsidR="00A27A34" w:rsidRDefault="00A27A34" w:rsidP="00934856">
      <w:r>
        <w:separator/>
      </w:r>
    </w:p>
  </w:endnote>
  <w:endnote w:type="continuationSeparator" w:id="0">
    <w:p w14:paraId="2B94AD44" w14:textId="77777777" w:rsidR="00A27A34" w:rsidRDefault="00A27A34" w:rsidP="0093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BA"/>
    <w:family w:val="roman"/>
    <w:pitch w:val="variable"/>
    <w:sig w:usb0="E0002EFF" w:usb1="C000785B" w:usb2="00000009" w:usb3="00000000" w:csb0="000001FF" w:csb1="00000000"/>
  </w:font>
  <w:font w:name="DokChampa">
    <w:charset w:val="DE"/>
    <w:family w:val="swiss"/>
    <w:pitch w:val="variable"/>
    <w:sig w:usb0="83000003" w:usb1="00000000" w:usb2="00000000" w:usb3="00000000" w:csb0="00010001" w:csb1="00000000"/>
  </w:font>
  <w:font w:name="Times Baltic">
    <w:altName w:val="Times New Roman"/>
    <w:charset w:val="00"/>
    <w:family w:val="auto"/>
    <w:pitch w:val="default"/>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14C16" w14:textId="77777777" w:rsidR="00A27A34" w:rsidRDefault="00A27A34" w:rsidP="00934856">
      <w:r>
        <w:separator/>
      </w:r>
    </w:p>
  </w:footnote>
  <w:footnote w:type="continuationSeparator" w:id="0">
    <w:p w14:paraId="021CE272" w14:textId="77777777" w:rsidR="00A27A34" w:rsidRDefault="00A27A34" w:rsidP="00934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329A"/>
    <w:multiLevelType w:val="multilevel"/>
    <w:tmpl w:val="F7A0375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19837CC9"/>
    <w:multiLevelType w:val="hybridMultilevel"/>
    <w:tmpl w:val="FA82EED6"/>
    <w:lvl w:ilvl="0" w:tplc="0409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 w15:restartNumberingAfterBreak="0">
    <w:nsid w:val="1A753E8A"/>
    <w:multiLevelType w:val="hybridMultilevel"/>
    <w:tmpl w:val="CB4805A2"/>
    <w:lvl w:ilvl="0" w:tplc="8C26EFDA">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 w15:restartNumberingAfterBreak="0">
    <w:nsid w:val="310D75B7"/>
    <w:multiLevelType w:val="hybridMultilevel"/>
    <w:tmpl w:val="9B8CDAB2"/>
    <w:lvl w:ilvl="0" w:tplc="A58A1686">
      <w:start w:val="1"/>
      <w:numFmt w:val="bullet"/>
      <w:lvlText w:val="-"/>
      <w:lvlJc w:val="left"/>
      <w:pPr>
        <w:ind w:left="1138" w:hanging="360"/>
      </w:pPr>
      <w:rPr>
        <w:rFonts w:ascii="Calibri" w:eastAsia="Times New Roman" w:hAnsi="Calibri" w:hint="default"/>
      </w:rPr>
    </w:lvl>
    <w:lvl w:ilvl="1" w:tplc="08090003" w:tentative="1">
      <w:start w:val="1"/>
      <w:numFmt w:val="bullet"/>
      <w:lvlText w:val="o"/>
      <w:lvlJc w:val="left"/>
      <w:pPr>
        <w:ind w:left="1858" w:hanging="360"/>
      </w:pPr>
      <w:rPr>
        <w:rFonts w:ascii="Courier New" w:hAnsi="Courier New" w:cs="Courier New" w:hint="default"/>
      </w:rPr>
    </w:lvl>
    <w:lvl w:ilvl="2" w:tplc="08090005" w:tentative="1">
      <w:start w:val="1"/>
      <w:numFmt w:val="bullet"/>
      <w:lvlText w:val=""/>
      <w:lvlJc w:val="left"/>
      <w:pPr>
        <w:ind w:left="2578" w:hanging="360"/>
      </w:pPr>
      <w:rPr>
        <w:rFonts w:ascii="Wingdings" w:hAnsi="Wingdings" w:hint="default"/>
      </w:rPr>
    </w:lvl>
    <w:lvl w:ilvl="3" w:tplc="08090001" w:tentative="1">
      <w:start w:val="1"/>
      <w:numFmt w:val="bullet"/>
      <w:lvlText w:val=""/>
      <w:lvlJc w:val="left"/>
      <w:pPr>
        <w:ind w:left="3298" w:hanging="360"/>
      </w:pPr>
      <w:rPr>
        <w:rFonts w:ascii="Symbol" w:hAnsi="Symbol" w:hint="default"/>
      </w:rPr>
    </w:lvl>
    <w:lvl w:ilvl="4" w:tplc="08090003" w:tentative="1">
      <w:start w:val="1"/>
      <w:numFmt w:val="bullet"/>
      <w:lvlText w:val="o"/>
      <w:lvlJc w:val="left"/>
      <w:pPr>
        <w:ind w:left="4018" w:hanging="360"/>
      </w:pPr>
      <w:rPr>
        <w:rFonts w:ascii="Courier New" w:hAnsi="Courier New" w:cs="Courier New" w:hint="default"/>
      </w:rPr>
    </w:lvl>
    <w:lvl w:ilvl="5" w:tplc="08090005" w:tentative="1">
      <w:start w:val="1"/>
      <w:numFmt w:val="bullet"/>
      <w:lvlText w:val=""/>
      <w:lvlJc w:val="left"/>
      <w:pPr>
        <w:ind w:left="4738" w:hanging="360"/>
      </w:pPr>
      <w:rPr>
        <w:rFonts w:ascii="Wingdings" w:hAnsi="Wingdings" w:hint="default"/>
      </w:rPr>
    </w:lvl>
    <w:lvl w:ilvl="6" w:tplc="08090001" w:tentative="1">
      <w:start w:val="1"/>
      <w:numFmt w:val="bullet"/>
      <w:lvlText w:val=""/>
      <w:lvlJc w:val="left"/>
      <w:pPr>
        <w:ind w:left="5458" w:hanging="360"/>
      </w:pPr>
      <w:rPr>
        <w:rFonts w:ascii="Symbol" w:hAnsi="Symbol" w:hint="default"/>
      </w:rPr>
    </w:lvl>
    <w:lvl w:ilvl="7" w:tplc="08090003" w:tentative="1">
      <w:start w:val="1"/>
      <w:numFmt w:val="bullet"/>
      <w:lvlText w:val="o"/>
      <w:lvlJc w:val="left"/>
      <w:pPr>
        <w:ind w:left="6178" w:hanging="360"/>
      </w:pPr>
      <w:rPr>
        <w:rFonts w:ascii="Courier New" w:hAnsi="Courier New" w:cs="Courier New" w:hint="default"/>
      </w:rPr>
    </w:lvl>
    <w:lvl w:ilvl="8" w:tplc="08090005" w:tentative="1">
      <w:start w:val="1"/>
      <w:numFmt w:val="bullet"/>
      <w:lvlText w:val=""/>
      <w:lvlJc w:val="left"/>
      <w:pPr>
        <w:ind w:left="6898" w:hanging="360"/>
      </w:pPr>
      <w:rPr>
        <w:rFonts w:ascii="Wingdings" w:hAnsi="Wingdings" w:hint="default"/>
      </w:rPr>
    </w:lvl>
  </w:abstractNum>
  <w:abstractNum w:abstractNumId="4" w15:restartNumberingAfterBreak="0">
    <w:nsid w:val="388D315F"/>
    <w:multiLevelType w:val="hybridMultilevel"/>
    <w:tmpl w:val="7FC8B052"/>
    <w:lvl w:ilvl="0" w:tplc="A58A1686">
      <w:start w:val="1"/>
      <w:numFmt w:val="bullet"/>
      <w:lvlText w:val="-"/>
      <w:lvlJc w:val="left"/>
      <w:pPr>
        <w:ind w:left="720" w:hanging="360"/>
      </w:pPr>
      <w:rPr>
        <w:rFonts w:ascii="Calibri" w:eastAsia="Times New Roman" w:hAnsi="Calibri"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3C217C56"/>
    <w:multiLevelType w:val="hybridMultilevel"/>
    <w:tmpl w:val="8422818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15:restartNumberingAfterBreak="0">
    <w:nsid w:val="3FFF4C8B"/>
    <w:multiLevelType w:val="hybridMultilevel"/>
    <w:tmpl w:val="843A1238"/>
    <w:lvl w:ilvl="0" w:tplc="ABD8EB24">
      <w:start w:val="2"/>
      <w:numFmt w:val="bullet"/>
      <w:lvlText w:val="-"/>
      <w:lvlJc w:val="left"/>
      <w:pPr>
        <w:ind w:left="720" w:hanging="360"/>
      </w:pPr>
      <w:rPr>
        <w:rFonts w:ascii="Times" w:eastAsia="Times New Roman" w:hAnsi="Time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067F89"/>
    <w:multiLevelType w:val="multilevel"/>
    <w:tmpl w:val="15468874"/>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44E11BF7"/>
    <w:multiLevelType w:val="hybridMultilevel"/>
    <w:tmpl w:val="25268FB4"/>
    <w:lvl w:ilvl="0" w:tplc="04260011">
      <w:start w:val="1"/>
      <w:numFmt w:val="decimal"/>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856"/>
    <w:rsid w:val="0008239C"/>
    <w:rsid w:val="00230EEF"/>
    <w:rsid w:val="00243A81"/>
    <w:rsid w:val="002B658B"/>
    <w:rsid w:val="002B6659"/>
    <w:rsid w:val="0037622A"/>
    <w:rsid w:val="004E7130"/>
    <w:rsid w:val="005173E8"/>
    <w:rsid w:val="00527FFE"/>
    <w:rsid w:val="007A39CC"/>
    <w:rsid w:val="007A7138"/>
    <w:rsid w:val="007F443D"/>
    <w:rsid w:val="008225F4"/>
    <w:rsid w:val="00916DFD"/>
    <w:rsid w:val="00934856"/>
    <w:rsid w:val="00973C54"/>
    <w:rsid w:val="00A27A34"/>
    <w:rsid w:val="00A350DB"/>
    <w:rsid w:val="00AE0A87"/>
    <w:rsid w:val="00AF5174"/>
    <w:rsid w:val="00BD68E3"/>
    <w:rsid w:val="00C83FA7"/>
    <w:rsid w:val="00D27BD7"/>
    <w:rsid w:val="00D66351"/>
    <w:rsid w:val="00F2370B"/>
    <w:rsid w:val="00F67938"/>
    <w:rsid w:val="00FE01A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52D1E"/>
  <w15:chartTrackingRefBased/>
  <w15:docId w15:val="{415866C6-C66A-0544-A2A2-D4482434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List Paragraph1,List Paragraph11,Normal bullet 2,Bullet list,Saraksta rindkopa1,Saraksta rindkopa,Colorful List - Accent 12,List1,Akapit z listą BS,Numbered Para 1,Dot pt,List Paragraph Char Char Char,Bullet 1"/>
    <w:basedOn w:val="Normal"/>
    <w:link w:val="ListParagraphChar"/>
    <w:uiPriority w:val="34"/>
    <w:qFormat/>
    <w:rsid w:val="00934856"/>
    <w:pPr>
      <w:spacing w:after="160" w:line="259" w:lineRule="auto"/>
      <w:ind w:left="720"/>
      <w:contextualSpacing/>
    </w:pPr>
    <w:rPr>
      <w:rFonts w:eastAsia="Times New Roman" w:cs="Times New Roman"/>
      <w:sz w:val="22"/>
      <w:szCs w:val="22"/>
    </w:rPr>
  </w:style>
  <w:style w:type="character" w:styleId="Hyperlink">
    <w:name w:val="Hyperlink"/>
    <w:basedOn w:val="DefaultParagraphFont"/>
    <w:uiPriority w:val="99"/>
    <w:unhideWhenUsed/>
    <w:rsid w:val="00934856"/>
    <w:rPr>
      <w:rFonts w:cs="Times New Roman"/>
      <w:color w:val="0563C1" w:themeColor="hyperlink"/>
      <w:u w:val="single"/>
    </w:rPr>
  </w:style>
  <w:style w:type="table" w:styleId="TableGrid">
    <w:name w:val="Table Grid"/>
    <w:basedOn w:val="TableNormal"/>
    <w:uiPriority w:val="39"/>
    <w:rsid w:val="00934856"/>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Fußnote,-E Fußnotentext,Fußnotentext Ursprung,single space,FOOTNOTES,fn,Footnote Text Char2 Char,Footnote Text Char Char1 Char,Schriftart: 9 pt,f"/>
    <w:basedOn w:val="Normal"/>
    <w:link w:val="FootnoteTextChar"/>
    <w:uiPriority w:val="99"/>
    <w:rsid w:val="00934856"/>
    <w:rPr>
      <w:rFonts w:ascii="Times New Roman" w:eastAsia="Times New Roman" w:hAnsi="Times New Roman" w:cs="Times New Roman"/>
      <w:sz w:val="20"/>
      <w:szCs w:val="20"/>
    </w:rPr>
  </w:style>
  <w:style w:type="character" w:customStyle="1" w:styleId="FootnoteTextChar">
    <w:name w:val="Footnote Text Char"/>
    <w:aliases w:val="Footnote Char,Fußnote Char Char1,Fußnote Char Char Char,Fußnote Char Char Char Char Char Char Char,Fußnote Char1,-E Fußnotentext Char,Fußnotentext Ursprung Char,single space Char,FOOTNOTES Char,fn Char,Footnote Text Char2 Char Char"/>
    <w:basedOn w:val="DefaultParagraphFont"/>
    <w:link w:val="FootnoteText"/>
    <w:uiPriority w:val="99"/>
    <w:rsid w:val="00934856"/>
    <w:rPr>
      <w:rFonts w:ascii="Times New Roman" w:eastAsia="Times New Roman" w:hAnsi="Times New Roman" w:cs="Times New Roman"/>
      <w:sz w:val="20"/>
      <w:szCs w:val="20"/>
      <w:lang w:val="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
    <w:basedOn w:val="DefaultParagraphFont"/>
    <w:uiPriority w:val="99"/>
    <w:rsid w:val="00934856"/>
    <w:rPr>
      <w:vertAlign w:val="superscript"/>
    </w:rPr>
  </w:style>
  <w:style w:type="character" w:customStyle="1" w:styleId="ListParagraphChar">
    <w:name w:val="List Paragraph Char"/>
    <w:aliases w:val="H&amp;P List Paragraph Char,2 Char,Strip Char,List Paragraph1 Char,List Paragraph11 Char,Normal bullet 2 Char,Bullet list Char,Saraksta rindkopa1 Char,Saraksta rindkopa Char,Colorful List - Accent 12 Char,List1 Char,Numbered Para 1 Char"/>
    <w:link w:val="ListParagraph"/>
    <w:uiPriority w:val="34"/>
    <w:qFormat/>
    <w:locked/>
    <w:rsid w:val="00934856"/>
    <w:rPr>
      <w:rFonts w:eastAsia="Times New Roman" w:cs="Times New Roman"/>
      <w:sz w:val="22"/>
      <w:szCs w:val="22"/>
      <w:lang w:val="lv-LV"/>
    </w:rPr>
  </w:style>
  <w:style w:type="character" w:styleId="UnresolvedMention">
    <w:name w:val="Unresolved Mention"/>
    <w:basedOn w:val="DefaultParagraphFont"/>
    <w:uiPriority w:val="99"/>
    <w:semiHidden/>
    <w:unhideWhenUsed/>
    <w:rsid w:val="007F443D"/>
    <w:rPr>
      <w:color w:val="605E5C"/>
      <w:shd w:val="clear" w:color="auto" w:fill="E1DFDD"/>
    </w:rPr>
  </w:style>
  <w:style w:type="character" w:styleId="FollowedHyperlink">
    <w:name w:val="FollowedHyperlink"/>
    <w:basedOn w:val="DefaultParagraphFont"/>
    <w:uiPriority w:val="99"/>
    <w:semiHidden/>
    <w:unhideWhenUsed/>
    <w:rsid w:val="007F443D"/>
    <w:rPr>
      <w:color w:val="954F72" w:themeColor="followedHyperlink"/>
      <w:u w:val="single"/>
    </w:rPr>
  </w:style>
  <w:style w:type="character" w:styleId="CommentReference">
    <w:name w:val="annotation reference"/>
    <w:basedOn w:val="DefaultParagraphFont"/>
    <w:uiPriority w:val="99"/>
    <w:semiHidden/>
    <w:unhideWhenUsed/>
    <w:rsid w:val="007F443D"/>
    <w:rPr>
      <w:rFonts w:cs="Times New Roman"/>
      <w:sz w:val="16"/>
      <w:szCs w:val="16"/>
    </w:rPr>
  </w:style>
  <w:style w:type="paragraph" w:styleId="CommentText">
    <w:name w:val="annotation text"/>
    <w:basedOn w:val="Normal"/>
    <w:link w:val="CommentTextChar"/>
    <w:uiPriority w:val="99"/>
    <w:unhideWhenUsed/>
    <w:rsid w:val="007F443D"/>
    <w:rPr>
      <w:rFonts w:eastAsia="Times New Roman" w:cs="Times New Roman"/>
      <w:sz w:val="20"/>
      <w:szCs w:val="20"/>
    </w:rPr>
  </w:style>
  <w:style w:type="character" w:customStyle="1" w:styleId="CommentTextChar">
    <w:name w:val="Comment Text Char"/>
    <w:basedOn w:val="DefaultParagraphFont"/>
    <w:link w:val="CommentText"/>
    <w:uiPriority w:val="99"/>
    <w:rsid w:val="007F443D"/>
    <w:rPr>
      <w:rFonts w:eastAsia="Times New Roman" w:cs="Times New Roman"/>
      <w:sz w:val="20"/>
      <w:szCs w:val="20"/>
      <w:lang w:val="lv-LV"/>
    </w:rPr>
  </w:style>
  <w:style w:type="paragraph" w:styleId="BalloonText">
    <w:name w:val="Balloon Text"/>
    <w:basedOn w:val="Normal"/>
    <w:link w:val="BalloonTextChar"/>
    <w:uiPriority w:val="99"/>
    <w:semiHidden/>
    <w:unhideWhenUsed/>
    <w:rsid w:val="007F44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443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26994">
      <w:bodyDiv w:val="1"/>
      <w:marLeft w:val="0"/>
      <w:marRight w:val="0"/>
      <w:marTop w:val="0"/>
      <w:marBottom w:val="0"/>
      <w:divBdr>
        <w:top w:val="none" w:sz="0" w:space="0" w:color="auto"/>
        <w:left w:val="none" w:sz="0" w:space="0" w:color="auto"/>
        <w:bottom w:val="none" w:sz="0" w:space="0" w:color="auto"/>
        <w:right w:val="none" w:sz="0" w:space="0" w:color="auto"/>
      </w:divBdr>
    </w:div>
    <w:div w:id="822164294">
      <w:bodyDiv w:val="1"/>
      <w:marLeft w:val="0"/>
      <w:marRight w:val="0"/>
      <w:marTop w:val="0"/>
      <w:marBottom w:val="0"/>
      <w:divBdr>
        <w:top w:val="none" w:sz="0" w:space="0" w:color="auto"/>
        <w:left w:val="none" w:sz="0" w:space="0" w:color="auto"/>
        <w:bottom w:val="none" w:sz="0" w:space="0" w:color="auto"/>
        <w:right w:val="none" w:sz="0" w:space="0" w:color="auto"/>
      </w:divBdr>
    </w:div>
    <w:div w:id="938831758">
      <w:bodyDiv w:val="1"/>
      <w:marLeft w:val="0"/>
      <w:marRight w:val="0"/>
      <w:marTop w:val="0"/>
      <w:marBottom w:val="0"/>
      <w:divBdr>
        <w:top w:val="none" w:sz="0" w:space="0" w:color="auto"/>
        <w:left w:val="none" w:sz="0" w:space="0" w:color="auto"/>
        <w:bottom w:val="none" w:sz="0" w:space="0" w:color="auto"/>
        <w:right w:val="none" w:sz="0" w:space="0" w:color="auto"/>
      </w:divBdr>
    </w:div>
    <w:div w:id="981035260">
      <w:bodyDiv w:val="1"/>
      <w:marLeft w:val="0"/>
      <w:marRight w:val="0"/>
      <w:marTop w:val="0"/>
      <w:marBottom w:val="0"/>
      <w:divBdr>
        <w:top w:val="none" w:sz="0" w:space="0" w:color="auto"/>
        <w:left w:val="none" w:sz="0" w:space="0" w:color="auto"/>
        <w:bottom w:val="none" w:sz="0" w:space="0" w:color="auto"/>
        <w:right w:val="none" w:sz="0" w:space="0" w:color="auto"/>
      </w:divBdr>
    </w:div>
    <w:div w:id="984971343">
      <w:bodyDiv w:val="1"/>
      <w:marLeft w:val="0"/>
      <w:marRight w:val="0"/>
      <w:marTop w:val="0"/>
      <w:marBottom w:val="0"/>
      <w:divBdr>
        <w:top w:val="none" w:sz="0" w:space="0" w:color="auto"/>
        <w:left w:val="none" w:sz="0" w:space="0" w:color="auto"/>
        <w:bottom w:val="none" w:sz="0" w:space="0" w:color="auto"/>
        <w:right w:val="none" w:sz="0" w:space="0" w:color="auto"/>
      </w:divBdr>
    </w:div>
    <w:div w:id="991718899">
      <w:bodyDiv w:val="1"/>
      <w:marLeft w:val="0"/>
      <w:marRight w:val="0"/>
      <w:marTop w:val="0"/>
      <w:marBottom w:val="0"/>
      <w:divBdr>
        <w:top w:val="none" w:sz="0" w:space="0" w:color="auto"/>
        <w:left w:val="none" w:sz="0" w:space="0" w:color="auto"/>
        <w:bottom w:val="none" w:sz="0" w:space="0" w:color="auto"/>
        <w:right w:val="none" w:sz="0" w:space="0" w:color="auto"/>
      </w:divBdr>
    </w:div>
    <w:div w:id="1151557846">
      <w:bodyDiv w:val="1"/>
      <w:marLeft w:val="0"/>
      <w:marRight w:val="0"/>
      <w:marTop w:val="0"/>
      <w:marBottom w:val="0"/>
      <w:divBdr>
        <w:top w:val="none" w:sz="0" w:space="0" w:color="auto"/>
        <w:left w:val="none" w:sz="0" w:space="0" w:color="auto"/>
        <w:bottom w:val="none" w:sz="0" w:space="0" w:color="auto"/>
        <w:right w:val="none" w:sz="0" w:space="0" w:color="auto"/>
      </w:divBdr>
    </w:div>
    <w:div w:id="1349021166">
      <w:bodyDiv w:val="1"/>
      <w:marLeft w:val="0"/>
      <w:marRight w:val="0"/>
      <w:marTop w:val="0"/>
      <w:marBottom w:val="0"/>
      <w:divBdr>
        <w:top w:val="none" w:sz="0" w:space="0" w:color="auto"/>
        <w:left w:val="none" w:sz="0" w:space="0" w:color="auto"/>
        <w:bottom w:val="none" w:sz="0" w:space="0" w:color="auto"/>
        <w:right w:val="none" w:sz="0" w:space="0" w:color="auto"/>
      </w:divBdr>
    </w:div>
    <w:div w:id="1392457374">
      <w:bodyDiv w:val="1"/>
      <w:marLeft w:val="0"/>
      <w:marRight w:val="0"/>
      <w:marTop w:val="0"/>
      <w:marBottom w:val="0"/>
      <w:divBdr>
        <w:top w:val="none" w:sz="0" w:space="0" w:color="auto"/>
        <w:left w:val="none" w:sz="0" w:space="0" w:color="auto"/>
        <w:bottom w:val="none" w:sz="0" w:space="0" w:color="auto"/>
        <w:right w:val="none" w:sz="0" w:space="0" w:color="auto"/>
      </w:divBdr>
    </w:div>
    <w:div w:id="1516578907">
      <w:bodyDiv w:val="1"/>
      <w:marLeft w:val="0"/>
      <w:marRight w:val="0"/>
      <w:marTop w:val="0"/>
      <w:marBottom w:val="0"/>
      <w:divBdr>
        <w:top w:val="none" w:sz="0" w:space="0" w:color="auto"/>
        <w:left w:val="none" w:sz="0" w:space="0" w:color="auto"/>
        <w:bottom w:val="none" w:sz="0" w:space="0" w:color="auto"/>
        <w:right w:val="none" w:sz="0" w:space="0" w:color="auto"/>
      </w:divBdr>
    </w:div>
    <w:div w:id="188717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V/TXT/?uri=CELEX:02014R0651-20210405" TargetMode="External"/><Relationship Id="rId3" Type="http://schemas.openxmlformats.org/officeDocument/2006/relationships/settings" Target="settings.xml"/><Relationship Id="rId7" Type="http://schemas.openxmlformats.org/officeDocument/2006/relationships/hyperlink" Target="https://likumi.lv/ta/id/312111-darbibas-programmas-izaugsme-un-nodarbinatiba-3-1-1-nbspspecifiska-atbalsta-merka-sekmet-mazo-videjo-komersantu-izvei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fla.gov.lv/lv/de-minimis-atbalsts" TargetMode="External"/><Relationship Id="rId4" Type="http://schemas.openxmlformats.org/officeDocument/2006/relationships/webSettings" Target="webSettings.xml"/><Relationship Id="rId9" Type="http://schemas.openxmlformats.org/officeDocument/2006/relationships/hyperlink" Target="https://eur-lex.europa.eu/legal-content/EN/TXT/?uri=CELEX%3A02013R1407-202007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5729</Words>
  <Characters>3266</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Kvartenoka</dc:creator>
  <cp:keywords/>
  <dc:description/>
  <cp:lastModifiedBy>Ilze Kvartenoka</cp:lastModifiedBy>
  <cp:revision>5</cp:revision>
  <dcterms:created xsi:type="dcterms:W3CDTF">2021-02-11T08:53:00Z</dcterms:created>
  <dcterms:modified xsi:type="dcterms:W3CDTF">2021-08-20T12:16:00Z</dcterms:modified>
</cp:coreProperties>
</file>