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61" w:type="dxa"/>
        <w:tblInd w:w="-5" w:type="dxa"/>
        <w:tblLook w:val="04A0" w:firstRow="1" w:lastRow="0" w:firstColumn="1" w:lastColumn="0" w:noHBand="0" w:noVBand="1"/>
      </w:tblPr>
      <w:tblGrid>
        <w:gridCol w:w="10461"/>
      </w:tblGrid>
      <w:tr w:rsidR="00016798" w:rsidRPr="00AF2308" w14:paraId="26A8739E" w14:textId="77777777" w:rsidTr="006B6932">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B52D6" w14:textId="77777777" w:rsidR="00016798" w:rsidRPr="00117514" w:rsidRDefault="00016798" w:rsidP="00016798">
            <w:pPr>
              <w:spacing w:line="276" w:lineRule="auto"/>
              <w:jc w:val="center"/>
              <w:rPr>
                <w:rFonts w:ascii="Times New Roman" w:hAnsi="Times New Roman" w:cs="Times New Roman"/>
                <w:b/>
                <w:sz w:val="26"/>
                <w:szCs w:val="26"/>
              </w:rPr>
            </w:pPr>
            <w:r w:rsidRPr="00117514">
              <w:rPr>
                <w:rFonts w:ascii="Times New Roman" w:hAnsi="Times New Roman" w:cs="Times New Roman"/>
                <w:b/>
                <w:sz w:val="26"/>
                <w:szCs w:val="26"/>
              </w:rPr>
              <w:t>Atbildes uz saņemtajiem jautājumiem par</w:t>
            </w:r>
          </w:p>
          <w:p w14:paraId="40D5BDF9" w14:textId="77777777" w:rsidR="00016798" w:rsidRPr="00117514" w:rsidRDefault="00016798" w:rsidP="00016798">
            <w:pPr>
              <w:spacing w:line="276" w:lineRule="auto"/>
              <w:jc w:val="center"/>
              <w:rPr>
                <w:rFonts w:ascii="Times New Roman" w:hAnsi="Times New Roman" w:cs="Times New Roman"/>
                <w:b/>
                <w:sz w:val="26"/>
                <w:szCs w:val="26"/>
              </w:rPr>
            </w:pPr>
            <w:r w:rsidRPr="00117514">
              <w:rPr>
                <w:rFonts w:ascii="Times New Roman" w:hAnsi="Times New Roman" w:cs="Times New Roman"/>
                <w:b/>
                <w:sz w:val="26"/>
                <w:szCs w:val="26"/>
              </w:rPr>
              <w:t>darbības programmas “Izaugsme un nodarbinātība”</w:t>
            </w:r>
          </w:p>
          <w:p w14:paraId="60D1FA6E" w14:textId="77777777" w:rsidR="00117514" w:rsidRDefault="00AF2308" w:rsidP="00117514">
            <w:pPr>
              <w:spacing w:line="276" w:lineRule="auto"/>
              <w:jc w:val="center"/>
              <w:rPr>
                <w:rFonts w:ascii="Times New Roman" w:hAnsi="Times New Roman" w:cs="Times New Roman"/>
                <w:b/>
                <w:sz w:val="26"/>
                <w:szCs w:val="26"/>
              </w:rPr>
            </w:pPr>
            <w:r w:rsidRPr="00117514">
              <w:rPr>
                <w:rFonts w:ascii="Times New Roman" w:hAnsi="Times New Roman" w:cs="Times New Roman"/>
                <w:b/>
                <w:sz w:val="26"/>
                <w:szCs w:val="26"/>
              </w:rPr>
              <w:t>3.1.1. specifiskā atbalsta mērķa “Sekmēt mazo, vidējo komersantu izveidi un attīstību, īpaši apstrādes rūpniecībā un RIS3 prioritārajās nozarēs”</w:t>
            </w:r>
            <w:r w:rsidR="00117514">
              <w:rPr>
                <w:rFonts w:ascii="Times New Roman" w:hAnsi="Times New Roman" w:cs="Times New Roman"/>
                <w:b/>
                <w:sz w:val="26"/>
                <w:szCs w:val="26"/>
              </w:rPr>
              <w:t xml:space="preserve"> </w:t>
            </w:r>
            <w:r w:rsidRPr="00117514">
              <w:rPr>
                <w:rFonts w:ascii="Times New Roman" w:hAnsi="Times New Roman" w:cs="Times New Roman"/>
                <w:b/>
                <w:sz w:val="26"/>
                <w:szCs w:val="26"/>
              </w:rPr>
              <w:t>3.1.1.3. pasākuma “Atbalsts mazo, vidējo komersantu finansējuma piesaistei kapitāla tirgos”</w:t>
            </w:r>
          </w:p>
          <w:p w14:paraId="62E5D850" w14:textId="6672E542" w:rsidR="00016798" w:rsidRPr="00117514" w:rsidRDefault="00AF2308" w:rsidP="00117514">
            <w:pPr>
              <w:spacing w:line="276" w:lineRule="auto"/>
              <w:jc w:val="center"/>
              <w:rPr>
                <w:rFonts w:ascii="Times New Roman" w:hAnsi="Times New Roman" w:cs="Times New Roman"/>
                <w:b/>
                <w:sz w:val="26"/>
                <w:szCs w:val="26"/>
              </w:rPr>
            </w:pPr>
            <w:r w:rsidRPr="00117514">
              <w:rPr>
                <w:rFonts w:ascii="Times New Roman" w:hAnsi="Times New Roman" w:cs="Times New Roman"/>
                <w:b/>
                <w:sz w:val="26"/>
                <w:szCs w:val="26"/>
              </w:rPr>
              <w:t>pirmās</w:t>
            </w:r>
            <w:r w:rsidR="00016798" w:rsidRPr="00117514">
              <w:rPr>
                <w:rFonts w:ascii="Times New Roman" w:hAnsi="Times New Roman" w:cs="Times New Roman"/>
                <w:b/>
                <w:sz w:val="26"/>
                <w:szCs w:val="26"/>
              </w:rPr>
              <w:t xml:space="preserve"> projektu iesniegumu atlases kārtas nosacījumiem</w:t>
            </w:r>
          </w:p>
        </w:tc>
      </w:tr>
      <w:tr w:rsidR="00016798" w:rsidRPr="00AF2308" w14:paraId="7D014997" w14:textId="77777777" w:rsidTr="00016798">
        <w:tc>
          <w:tcPr>
            <w:tcW w:w="10461" w:type="dxa"/>
            <w:tcBorders>
              <w:top w:val="single" w:sz="4" w:space="0" w:color="auto"/>
              <w:left w:val="single" w:sz="4" w:space="0" w:color="auto"/>
              <w:bottom w:val="single" w:sz="4" w:space="0" w:color="auto"/>
              <w:right w:val="single" w:sz="4" w:space="0" w:color="auto"/>
            </w:tcBorders>
          </w:tcPr>
          <w:p w14:paraId="27684639" w14:textId="77777777" w:rsidR="00016798" w:rsidRPr="00D80B32" w:rsidRDefault="00016798" w:rsidP="00016798">
            <w:pPr>
              <w:spacing w:line="276" w:lineRule="auto"/>
              <w:jc w:val="both"/>
              <w:rPr>
                <w:rFonts w:ascii="Times New Roman" w:hAnsi="Times New Roman" w:cs="Times New Roman"/>
                <w:sz w:val="24"/>
                <w:szCs w:val="24"/>
              </w:rPr>
            </w:pPr>
            <w:r w:rsidRPr="00D80B32">
              <w:rPr>
                <w:rFonts w:ascii="Times New Roman" w:hAnsi="Times New Roman" w:cs="Times New Roman"/>
                <w:sz w:val="24"/>
                <w:szCs w:val="24"/>
              </w:rPr>
              <w:t>Saīsinājumi un apzīmējumi:</w:t>
            </w:r>
          </w:p>
          <w:p w14:paraId="665AB9AB" w14:textId="77777777" w:rsidR="00016798" w:rsidRPr="00D80B32" w:rsidRDefault="00016798" w:rsidP="00016798">
            <w:pPr>
              <w:spacing w:line="276" w:lineRule="auto"/>
              <w:jc w:val="both"/>
              <w:rPr>
                <w:rFonts w:ascii="Times New Roman" w:hAnsi="Times New Roman" w:cs="Times New Roman"/>
                <w:sz w:val="24"/>
                <w:szCs w:val="24"/>
              </w:rPr>
            </w:pPr>
          </w:p>
          <w:p w14:paraId="4191C178" w14:textId="1D15CE0E" w:rsidR="00016798" w:rsidRPr="00325C3D" w:rsidRDefault="00016798" w:rsidP="00D80B32">
            <w:pPr>
              <w:spacing w:line="276" w:lineRule="auto"/>
              <w:jc w:val="both"/>
              <w:rPr>
                <w:rFonts w:ascii="Times New Roman" w:hAnsi="Times New Roman" w:cs="Times New Roman"/>
                <w:bCs/>
                <w:sz w:val="24"/>
                <w:szCs w:val="24"/>
                <w:shd w:val="clear" w:color="auto" w:fill="FFFFFF"/>
              </w:rPr>
            </w:pPr>
            <w:r w:rsidRPr="00D80B32">
              <w:rPr>
                <w:rFonts w:ascii="Times New Roman" w:hAnsi="Times New Roman" w:cs="Times New Roman"/>
                <w:sz w:val="24"/>
                <w:szCs w:val="24"/>
              </w:rPr>
              <w:t xml:space="preserve">Atlases nolikums - </w:t>
            </w:r>
            <w:r w:rsidRPr="00D80B32">
              <w:rPr>
                <w:rFonts w:ascii="Times New Roman" w:hAnsi="Times New Roman" w:cs="Times New Roman"/>
                <w:bCs/>
                <w:sz w:val="24"/>
                <w:szCs w:val="24"/>
                <w:shd w:val="clear" w:color="auto" w:fill="FFFFFF"/>
              </w:rPr>
              <w:t xml:space="preserve">darbības programmas “Izaugsme un nodarbinātība” </w:t>
            </w:r>
            <w:r w:rsidR="00D80B32" w:rsidRPr="00D80B32">
              <w:rPr>
                <w:rFonts w:ascii="Times New Roman" w:hAnsi="Times New Roman" w:cs="Times New Roman"/>
                <w:bCs/>
                <w:sz w:val="24"/>
                <w:szCs w:val="24"/>
                <w:shd w:val="clear" w:color="auto" w:fill="FFFFFF"/>
              </w:rPr>
              <w:t xml:space="preserve">3.1.1. specifiskā atbalsta mērķa “Sekmēt mazo, vidējo komersantu izveidi un attīstību, īpaši apstrādes rūpniecībā un RIS3 prioritārajās nozarēs” 3.1.1.3. pasākuma “Atbalsts mazo, vidējo komersantu finansējuma piesaistei kapitāla tirgos” pirmās projektu iesniegumu atlases </w:t>
            </w:r>
            <w:r w:rsidR="00D80B32" w:rsidRPr="00325C3D">
              <w:rPr>
                <w:rFonts w:ascii="Times New Roman" w:hAnsi="Times New Roman" w:cs="Times New Roman"/>
                <w:bCs/>
                <w:sz w:val="24"/>
                <w:szCs w:val="24"/>
                <w:shd w:val="clear" w:color="auto" w:fill="FFFFFF"/>
              </w:rPr>
              <w:t>kārtas</w:t>
            </w:r>
            <w:r w:rsidRPr="00325C3D">
              <w:rPr>
                <w:rFonts w:ascii="Times New Roman" w:hAnsi="Times New Roman" w:cs="Times New Roman"/>
                <w:bCs/>
                <w:sz w:val="24"/>
                <w:szCs w:val="24"/>
                <w:shd w:val="clear" w:color="auto" w:fill="FFFFFF"/>
              </w:rPr>
              <w:t xml:space="preserve"> nolikums;</w:t>
            </w:r>
          </w:p>
          <w:p w14:paraId="0FB7E519" w14:textId="77777777" w:rsidR="00016798" w:rsidRPr="00325C3D" w:rsidRDefault="00016798" w:rsidP="00016798">
            <w:pPr>
              <w:spacing w:line="276" w:lineRule="auto"/>
              <w:jc w:val="both"/>
              <w:rPr>
                <w:rFonts w:ascii="Times New Roman" w:hAnsi="Times New Roman" w:cs="Times New Roman"/>
                <w:sz w:val="24"/>
                <w:szCs w:val="24"/>
              </w:rPr>
            </w:pPr>
            <w:r w:rsidRPr="00325C3D">
              <w:rPr>
                <w:rFonts w:ascii="Times New Roman" w:hAnsi="Times New Roman" w:cs="Times New Roman"/>
                <w:sz w:val="24"/>
                <w:szCs w:val="24"/>
              </w:rPr>
              <w:t>CFLA – Centrālā finanšu un līgumu aģentūra;</w:t>
            </w:r>
          </w:p>
          <w:p w14:paraId="1CDCB505" w14:textId="5E4EF4E2" w:rsidR="00016798" w:rsidRPr="00325C3D" w:rsidRDefault="00325C3D" w:rsidP="00016798">
            <w:pPr>
              <w:spacing w:line="276" w:lineRule="auto"/>
              <w:jc w:val="both"/>
              <w:rPr>
                <w:rFonts w:ascii="Times New Roman" w:hAnsi="Times New Roman" w:cs="Times New Roman"/>
                <w:sz w:val="24"/>
                <w:szCs w:val="24"/>
              </w:rPr>
            </w:pPr>
            <w:r w:rsidRPr="00325C3D">
              <w:rPr>
                <w:rFonts w:ascii="Times New Roman" w:hAnsi="Times New Roman" w:cs="Times New Roman"/>
                <w:sz w:val="24"/>
                <w:szCs w:val="24"/>
              </w:rPr>
              <w:t>ERAF</w:t>
            </w:r>
            <w:r w:rsidR="00016798" w:rsidRPr="00325C3D">
              <w:rPr>
                <w:rFonts w:ascii="Times New Roman" w:hAnsi="Times New Roman" w:cs="Times New Roman"/>
                <w:sz w:val="24"/>
                <w:szCs w:val="24"/>
              </w:rPr>
              <w:t xml:space="preserve"> –</w:t>
            </w:r>
            <w:r w:rsidRPr="00325C3D">
              <w:rPr>
                <w:rFonts w:ascii="Times New Roman" w:hAnsi="Times New Roman" w:cs="Times New Roman"/>
                <w:sz w:val="24"/>
                <w:szCs w:val="24"/>
              </w:rPr>
              <w:t xml:space="preserve"> Eiropas Reģionālās attīstības fonds</w:t>
            </w:r>
            <w:r w:rsidR="00016798" w:rsidRPr="00325C3D">
              <w:rPr>
                <w:rFonts w:ascii="Times New Roman" w:hAnsi="Times New Roman" w:cs="Times New Roman"/>
                <w:sz w:val="24"/>
                <w:szCs w:val="24"/>
              </w:rPr>
              <w:t>;</w:t>
            </w:r>
          </w:p>
          <w:p w14:paraId="499624A3" w14:textId="4D3F9749" w:rsidR="00016798" w:rsidRPr="00D80B32" w:rsidRDefault="00016798" w:rsidP="00016798">
            <w:pPr>
              <w:spacing w:line="276" w:lineRule="auto"/>
              <w:jc w:val="both"/>
              <w:rPr>
                <w:rFonts w:ascii="Times New Roman" w:hAnsi="Times New Roman" w:cs="Times New Roman"/>
                <w:sz w:val="24"/>
                <w:szCs w:val="24"/>
              </w:rPr>
            </w:pPr>
            <w:r w:rsidRPr="00D80B32">
              <w:rPr>
                <w:rFonts w:ascii="Times New Roman" w:hAnsi="Times New Roman" w:cs="Times New Roman"/>
                <w:sz w:val="24"/>
                <w:szCs w:val="24"/>
              </w:rPr>
              <w:t xml:space="preserve">MK noteikumi – Ministru kabineta </w:t>
            </w:r>
            <w:r w:rsidR="00D80B32" w:rsidRPr="00D80B32">
              <w:rPr>
                <w:rFonts w:ascii="Times New Roman" w:hAnsi="Times New Roman" w:cs="Times New Roman"/>
                <w:sz w:val="24"/>
                <w:szCs w:val="24"/>
              </w:rPr>
              <w:t>2020.gada 21.janvāra</w:t>
            </w:r>
            <w:r w:rsidRPr="00D80B32">
              <w:rPr>
                <w:rFonts w:ascii="Times New Roman" w:hAnsi="Times New Roman" w:cs="Times New Roman"/>
                <w:sz w:val="24"/>
                <w:szCs w:val="24"/>
              </w:rPr>
              <w:t xml:space="preserve"> noteikumi Nr.</w:t>
            </w:r>
            <w:r w:rsidR="00D80B32" w:rsidRPr="00D80B32">
              <w:rPr>
                <w:rFonts w:ascii="Times New Roman" w:hAnsi="Times New Roman" w:cs="Times New Roman"/>
                <w:sz w:val="24"/>
                <w:szCs w:val="24"/>
              </w:rPr>
              <w:t>35</w:t>
            </w:r>
            <w:r w:rsidRPr="00D80B32">
              <w:rPr>
                <w:rFonts w:ascii="Times New Roman" w:hAnsi="Times New Roman" w:cs="Times New Roman"/>
                <w:sz w:val="24"/>
                <w:szCs w:val="24"/>
              </w:rPr>
              <w:t xml:space="preserve"> “Darbības programmas “Izaugsme un nodarbinātība” </w:t>
            </w:r>
            <w:r w:rsidR="00D80B32" w:rsidRPr="00D80B32">
              <w:rPr>
                <w:rFonts w:ascii="Times New Roman" w:hAnsi="Times New Roman" w:cs="Times New Roman"/>
                <w:bCs/>
                <w:sz w:val="24"/>
                <w:szCs w:val="24"/>
                <w:shd w:val="clear" w:color="auto" w:fill="FFFFFF"/>
              </w:rPr>
              <w:t xml:space="preserve">3.1.1. specifiskā atbalsta mērķa “Sekmēt mazo, vidējo komersantu izveidi un attīstību, īpaši apstrādes rūpniecībā un RIS3 prioritārajās nozarēs” 3.1.1.3. pasākuma “Atbalsts mazo, vidējo komersantu finansējuma piesaistei kapitāla tirgos” </w:t>
            </w:r>
            <w:r w:rsidRPr="00D80B32">
              <w:rPr>
                <w:rFonts w:ascii="Times New Roman" w:hAnsi="Times New Roman" w:cs="Times New Roman"/>
                <w:sz w:val="24"/>
                <w:szCs w:val="24"/>
              </w:rPr>
              <w:t>īstenošanas noteikumi”;</w:t>
            </w:r>
          </w:p>
          <w:p w14:paraId="2008646C" w14:textId="3A57E9E3" w:rsidR="00016798" w:rsidRPr="005100D0" w:rsidRDefault="00016798" w:rsidP="00016798">
            <w:pPr>
              <w:spacing w:line="276" w:lineRule="auto"/>
              <w:jc w:val="both"/>
              <w:rPr>
                <w:rFonts w:ascii="Times New Roman" w:hAnsi="Times New Roman" w:cs="Times New Roman"/>
                <w:sz w:val="24"/>
                <w:szCs w:val="24"/>
                <w:highlight w:val="yellow"/>
              </w:rPr>
            </w:pPr>
            <w:r w:rsidRPr="00D80B32">
              <w:rPr>
                <w:rFonts w:ascii="Times New Roman" w:hAnsi="Times New Roman" w:cs="Times New Roman"/>
                <w:sz w:val="24"/>
                <w:szCs w:val="24"/>
              </w:rPr>
              <w:t>SAM</w:t>
            </w:r>
            <w:r w:rsidR="00D80B32" w:rsidRPr="00D80B32">
              <w:rPr>
                <w:rFonts w:ascii="Times New Roman" w:hAnsi="Times New Roman" w:cs="Times New Roman"/>
                <w:sz w:val="24"/>
                <w:szCs w:val="24"/>
              </w:rPr>
              <w:t xml:space="preserve">P 3.1.1.3. </w:t>
            </w:r>
            <w:r w:rsidRPr="00D80B32">
              <w:rPr>
                <w:rFonts w:ascii="Times New Roman" w:hAnsi="Times New Roman" w:cs="Times New Roman"/>
                <w:sz w:val="24"/>
                <w:szCs w:val="24"/>
              </w:rPr>
              <w:t xml:space="preserve">– darbības programmas “Izaugsme un nodarbinātība” </w:t>
            </w:r>
            <w:r w:rsidR="00D80B32" w:rsidRPr="00D80B32">
              <w:rPr>
                <w:rFonts w:ascii="Times New Roman" w:hAnsi="Times New Roman" w:cs="Times New Roman"/>
                <w:bCs/>
                <w:sz w:val="24"/>
                <w:szCs w:val="24"/>
                <w:shd w:val="clear" w:color="auto" w:fill="FFFFFF"/>
              </w:rPr>
              <w:t xml:space="preserve">3.1.1. specifiskā atbalsta mērķa “Sekmēt mazo, vidējo komersantu izveidi un attīstību, īpaši apstrādes rūpniecībā un RIS3 prioritārajās nozarēs” 3.1.1.3. </w:t>
            </w:r>
            <w:proofErr w:type="spellStart"/>
            <w:r w:rsidR="00D80B32" w:rsidRPr="00D80B32">
              <w:rPr>
                <w:rFonts w:ascii="Times New Roman" w:hAnsi="Times New Roman" w:cs="Times New Roman"/>
                <w:bCs/>
                <w:sz w:val="24"/>
                <w:szCs w:val="24"/>
                <w:shd w:val="clear" w:color="auto" w:fill="FFFFFF"/>
              </w:rPr>
              <w:t>pasākums“Atbalsts</w:t>
            </w:r>
            <w:proofErr w:type="spellEnd"/>
            <w:r w:rsidR="00D80B32" w:rsidRPr="00D80B32">
              <w:rPr>
                <w:rFonts w:ascii="Times New Roman" w:hAnsi="Times New Roman" w:cs="Times New Roman"/>
                <w:bCs/>
                <w:sz w:val="24"/>
                <w:szCs w:val="24"/>
                <w:shd w:val="clear" w:color="auto" w:fill="FFFFFF"/>
              </w:rPr>
              <w:t xml:space="preserve"> mazo, vidējo komersantu finansējuma piesaistei kapitāla tirgos”</w:t>
            </w:r>
            <w:r w:rsidRPr="00D80B32">
              <w:rPr>
                <w:rFonts w:ascii="Times New Roman" w:hAnsi="Times New Roman" w:cs="Times New Roman"/>
                <w:sz w:val="24"/>
                <w:szCs w:val="24"/>
              </w:rPr>
              <w:t>.</w:t>
            </w:r>
          </w:p>
        </w:tc>
      </w:tr>
      <w:tr w:rsidR="00A17086" w:rsidRPr="00AF2308" w14:paraId="4FF6080D" w14:textId="77777777" w:rsidTr="006B6932">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11533" w14:textId="77777777" w:rsidR="00A17086" w:rsidRPr="00AF2308" w:rsidRDefault="00A17086" w:rsidP="00A17086">
            <w:pPr>
              <w:spacing w:line="276" w:lineRule="auto"/>
              <w:contextualSpacing/>
              <w:jc w:val="both"/>
              <w:rPr>
                <w:rFonts w:ascii="Times New Roman" w:eastAsia="Times New Roman" w:hAnsi="Times New Roman" w:cs="Times New Roman"/>
                <w:sz w:val="24"/>
                <w:szCs w:val="24"/>
                <w:lang w:eastAsia="lv-LV"/>
              </w:rPr>
            </w:pPr>
            <w:r w:rsidRPr="00AF2308">
              <w:rPr>
                <w:rFonts w:ascii="Times New Roman" w:eastAsia="Times New Roman" w:hAnsi="Times New Roman" w:cs="Times New Roman"/>
                <w:sz w:val="24"/>
                <w:szCs w:val="24"/>
                <w:lang w:eastAsia="lv-LV"/>
              </w:rPr>
              <w:t>1.jautājums:</w:t>
            </w:r>
          </w:p>
          <w:p w14:paraId="4E471C5E" w14:textId="21511FB0" w:rsidR="00A17086" w:rsidRDefault="00A17086" w:rsidP="00A17086">
            <w:pPr>
              <w:spacing w:line="276" w:lineRule="auto"/>
              <w:contextualSpacing/>
              <w:jc w:val="both"/>
              <w:rPr>
                <w:rFonts w:ascii="Times New Roman" w:eastAsia="Times New Roman" w:hAnsi="Times New Roman" w:cs="Times New Roman"/>
                <w:sz w:val="24"/>
                <w:szCs w:val="24"/>
                <w:lang w:eastAsia="lv-LV"/>
              </w:rPr>
            </w:pPr>
          </w:p>
          <w:p w14:paraId="19182FFF" w14:textId="3DECC30B" w:rsidR="00A17086" w:rsidRPr="00D80B32" w:rsidRDefault="00D80B32" w:rsidP="00D80B32">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uzņēmums vēl nav izlēmis, vai vēlas veikt akciju vai obligāciju emisiju, vai projekta iesniegumā var iekļaut abas šīs darbības un vēlāk, kad izvēlēts piemērotākais instruments, otru dzēst no projekta?</w:t>
            </w:r>
          </w:p>
        </w:tc>
      </w:tr>
      <w:tr w:rsidR="00A17086" w:rsidRPr="00AF2308" w14:paraId="12D97240" w14:textId="77777777" w:rsidTr="00895A13">
        <w:tc>
          <w:tcPr>
            <w:tcW w:w="10461" w:type="dxa"/>
            <w:tcBorders>
              <w:top w:val="single" w:sz="4" w:space="0" w:color="auto"/>
              <w:left w:val="single" w:sz="4" w:space="0" w:color="auto"/>
              <w:bottom w:val="single" w:sz="4" w:space="0" w:color="auto"/>
              <w:right w:val="single" w:sz="4" w:space="0" w:color="auto"/>
            </w:tcBorders>
            <w:shd w:val="clear" w:color="auto" w:fill="auto"/>
          </w:tcPr>
          <w:p w14:paraId="2C9FC054" w14:textId="77777777" w:rsidR="00A17086" w:rsidRPr="00AF2308" w:rsidRDefault="00A17086" w:rsidP="00A17086">
            <w:pPr>
              <w:spacing w:line="276" w:lineRule="auto"/>
              <w:contextualSpacing/>
              <w:jc w:val="both"/>
              <w:rPr>
                <w:rFonts w:ascii="Times New Roman" w:eastAsia="Times New Roman" w:hAnsi="Times New Roman" w:cs="Times New Roman"/>
                <w:sz w:val="24"/>
                <w:szCs w:val="24"/>
                <w:lang w:eastAsia="lv-LV"/>
              </w:rPr>
            </w:pPr>
            <w:r w:rsidRPr="00AF2308">
              <w:rPr>
                <w:rFonts w:ascii="Times New Roman" w:eastAsia="Times New Roman" w:hAnsi="Times New Roman" w:cs="Times New Roman"/>
                <w:sz w:val="24"/>
                <w:szCs w:val="24"/>
                <w:lang w:eastAsia="lv-LV"/>
              </w:rPr>
              <w:t>Atbilde uz 1.jautājumu:</w:t>
            </w:r>
          </w:p>
          <w:p w14:paraId="07A215AF" w14:textId="3F034274" w:rsidR="00A17086" w:rsidRDefault="00A17086" w:rsidP="00A17086">
            <w:pPr>
              <w:spacing w:line="276" w:lineRule="auto"/>
              <w:contextualSpacing/>
              <w:jc w:val="both"/>
              <w:rPr>
                <w:rFonts w:ascii="Times New Roman" w:eastAsia="Times New Roman" w:hAnsi="Times New Roman" w:cs="Times New Roman"/>
                <w:sz w:val="24"/>
                <w:szCs w:val="24"/>
                <w:lang w:eastAsia="lv-LV"/>
              </w:rPr>
            </w:pPr>
          </w:p>
          <w:p w14:paraId="05D5BDD9" w14:textId="77777777" w:rsidR="00A17086" w:rsidRDefault="00D80B32" w:rsidP="00325C3D">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Nē, </w:t>
            </w:r>
            <w:r w:rsidRPr="00D80B32">
              <w:rPr>
                <w:rFonts w:ascii="Times New Roman" w:eastAsia="Times New Roman" w:hAnsi="Times New Roman" w:cs="Times New Roman"/>
                <w:b/>
                <w:sz w:val="24"/>
                <w:szCs w:val="24"/>
                <w:lang w:eastAsia="lv-LV"/>
              </w:rPr>
              <w:t>vienā projekta iesniegumā ir iekļaujama tikai viena no atbalstāmajām darbībām</w:t>
            </w:r>
            <w:r>
              <w:rPr>
                <w:rFonts w:ascii="Times New Roman" w:eastAsia="Times New Roman" w:hAnsi="Times New Roman" w:cs="Times New Roman"/>
                <w:sz w:val="24"/>
                <w:szCs w:val="24"/>
                <w:lang w:eastAsia="lv-LV"/>
              </w:rPr>
              <w:t xml:space="preserve"> – akciju vai obligāciju iekļaušana tirdzniecības vietā, jo MK noteikumu 6. un 24. punktā ir noteikti dažādi </w:t>
            </w:r>
            <w:r w:rsidR="00325C3D">
              <w:rPr>
                <w:rFonts w:ascii="Times New Roman" w:eastAsia="Times New Roman" w:hAnsi="Times New Roman" w:cs="Times New Roman"/>
                <w:sz w:val="24"/>
                <w:szCs w:val="24"/>
                <w:lang w:eastAsia="lv-LV"/>
              </w:rPr>
              <w:t>ERAF</w:t>
            </w:r>
            <w:r>
              <w:rPr>
                <w:rFonts w:ascii="Times New Roman" w:eastAsia="Times New Roman" w:hAnsi="Times New Roman" w:cs="Times New Roman"/>
                <w:sz w:val="24"/>
                <w:szCs w:val="24"/>
                <w:lang w:eastAsia="lv-LV"/>
              </w:rPr>
              <w:t xml:space="preserve"> limiti </w:t>
            </w:r>
            <w:r w:rsidR="00325C3D">
              <w:rPr>
                <w:rFonts w:ascii="Times New Roman" w:eastAsia="Times New Roman" w:hAnsi="Times New Roman" w:cs="Times New Roman"/>
                <w:sz w:val="24"/>
                <w:szCs w:val="24"/>
                <w:lang w:eastAsia="lv-LV"/>
              </w:rPr>
              <w:t xml:space="preserve">atkarībā no plānotajām darbībām </w:t>
            </w:r>
            <w:r>
              <w:rPr>
                <w:rFonts w:ascii="Times New Roman" w:eastAsia="Times New Roman" w:hAnsi="Times New Roman" w:cs="Times New Roman"/>
                <w:sz w:val="24"/>
                <w:szCs w:val="24"/>
                <w:lang w:eastAsia="lv-LV"/>
              </w:rPr>
              <w:t>gan projekta iesnieguma, gan SAMP 3.1.1.3. mērogā</w:t>
            </w:r>
            <w:r w:rsidR="00325C3D">
              <w:rPr>
                <w:rFonts w:ascii="Times New Roman" w:eastAsia="Times New Roman" w:hAnsi="Times New Roman" w:cs="Times New Roman"/>
                <w:sz w:val="24"/>
                <w:szCs w:val="24"/>
                <w:lang w:eastAsia="lv-LV"/>
              </w:rPr>
              <w:t>. Līdz ar to</w:t>
            </w:r>
            <w:r>
              <w:rPr>
                <w:rFonts w:ascii="Times New Roman" w:eastAsia="Times New Roman" w:hAnsi="Times New Roman" w:cs="Times New Roman"/>
                <w:sz w:val="24"/>
                <w:szCs w:val="24"/>
                <w:lang w:eastAsia="lv-LV"/>
              </w:rPr>
              <w:t>,</w:t>
            </w:r>
            <w:r w:rsidR="00325C3D">
              <w:rPr>
                <w:rFonts w:ascii="Times New Roman" w:eastAsia="Times New Roman" w:hAnsi="Times New Roman" w:cs="Times New Roman"/>
                <w:sz w:val="24"/>
                <w:szCs w:val="24"/>
                <w:lang w:eastAsia="lv-LV"/>
              </w:rPr>
              <w:t xml:space="preserve"> veicot projektu iesniegumu sarindošanu</w:t>
            </w:r>
            <w:r>
              <w:rPr>
                <w:rFonts w:ascii="Times New Roman" w:eastAsia="Times New Roman" w:hAnsi="Times New Roman" w:cs="Times New Roman"/>
                <w:sz w:val="24"/>
                <w:szCs w:val="24"/>
                <w:lang w:eastAsia="lv-LV"/>
              </w:rPr>
              <w:t xml:space="preserve"> </w:t>
            </w:r>
            <w:r w:rsidR="00325C3D">
              <w:rPr>
                <w:rFonts w:ascii="Times New Roman" w:eastAsia="Times New Roman" w:hAnsi="Times New Roman" w:cs="Times New Roman"/>
                <w:sz w:val="24"/>
                <w:szCs w:val="24"/>
                <w:lang w:eastAsia="lv-LV"/>
              </w:rPr>
              <w:t>(atlases nolikuma 32.punkts) un lēmuma pieņemšanu (atlases nolikuma 40.-43.punkts)</w:t>
            </w:r>
            <w:r>
              <w:rPr>
                <w:rFonts w:ascii="Times New Roman" w:eastAsia="Times New Roman" w:hAnsi="Times New Roman" w:cs="Times New Roman"/>
                <w:sz w:val="24"/>
                <w:szCs w:val="24"/>
                <w:lang w:eastAsia="lv-LV"/>
              </w:rPr>
              <w:t>, kā arī fiksējot SAMP 3.1.1.3. atlikušo finansējumu jaunas atlases kārtas izsludināšanai, ir nepieciešam</w:t>
            </w:r>
            <w:r w:rsidR="00325C3D">
              <w:rPr>
                <w:rFonts w:ascii="Times New Roman" w:eastAsia="Times New Roman" w:hAnsi="Times New Roman" w:cs="Times New Roman"/>
                <w:sz w:val="24"/>
                <w:szCs w:val="24"/>
                <w:lang w:eastAsia="lv-LV"/>
              </w:rPr>
              <w:t>a precīza informācija par iesniegtajos projekta iesniegumos plānoto ERAF finansējuma apmēru.</w:t>
            </w:r>
          </w:p>
          <w:p w14:paraId="702692C5" w14:textId="24F62F22" w:rsidR="00325C3D" w:rsidRPr="00D80B32" w:rsidRDefault="00325C3D" w:rsidP="00325C3D">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vēršam uzmanību, ka saskaņā ar MK noteikumu anotāciju CFLA organizēs SAMP 3.1.1.3. projektu iesniegumu atlases vismaz reizi ceturksnī līdz brīdim, kad tiks nokontraktēts viss SAMP 3.1.1.3. pieejamais finansējums, līdz ar to, ja uzņēmums līdz pirmās projektu iesniegumu atlases kārtas termiņa beigām vēl nebūs izvēlējies tam piemērotāko atbalstāmo darbību, tam būs iespēja pieteikties kādā no nākamajām projektu iesniegumu atlases kārtām, kamēr SAMP 3.1.1.3. ietvaros būs pieejams finansējums.</w:t>
            </w:r>
          </w:p>
        </w:tc>
      </w:tr>
      <w:tr w:rsidR="00B356F2" w:rsidRPr="00AF2308" w14:paraId="0EA572BE" w14:textId="77777777" w:rsidTr="00B356F2">
        <w:tc>
          <w:tcPr>
            <w:tcW w:w="104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65F15E7" w14:textId="77777777" w:rsidR="00B356F2" w:rsidRDefault="00B356F2" w:rsidP="00A17086">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2.jautājums:</w:t>
            </w:r>
          </w:p>
          <w:p w14:paraId="60B15065" w14:textId="77777777" w:rsidR="00B356F2" w:rsidRDefault="00B356F2" w:rsidP="00A17086">
            <w:pPr>
              <w:spacing w:line="276" w:lineRule="auto"/>
              <w:contextualSpacing/>
              <w:jc w:val="both"/>
              <w:rPr>
                <w:rFonts w:ascii="Times New Roman" w:eastAsia="Times New Roman" w:hAnsi="Times New Roman" w:cs="Times New Roman"/>
                <w:sz w:val="24"/>
                <w:szCs w:val="24"/>
                <w:lang w:eastAsia="lv-LV"/>
              </w:rPr>
            </w:pPr>
          </w:p>
          <w:p w14:paraId="50D175EA" w14:textId="227AE9E0" w:rsidR="00B356F2" w:rsidRPr="00AF2308" w:rsidRDefault="00B356F2" w:rsidP="00B356F2">
            <w:pPr>
              <w:spacing w:line="276" w:lineRule="auto"/>
              <w:contextualSpacing/>
              <w:jc w:val="both"/>
              <w:rPr>
                <w:rFonts w:ascii="Times New Roman" w:eastAsia="Times New Roman" w:hAnsi="Times New Roman" w:cs="Times New Roman"/>
                <w:sz w:val="24"/>
                <w:szCs w:val="24"/>
                <w:lang w:eastAsia="lv-LV"/>
              </w:rPr>
            </w:pPr>
            <w:r w:rsidRPr="00B356F2">
              <w:rPr>
                <w:rFonts w:ascii="Times New Roman" w:eastAsia="Times New Roman" w:hAnsi="Times New Roman" w:cs="Times New Roman"/>
                <w:sz w:val="24"/>
                <w:szCs w:val="24"/>
                <w:lang w:eastAsia="lv-LV"/>
              </w:rPr>
              <w:t>Vēlējos noskaidrot</w:t>
            </w:r>
            <w:r>
              <w:rPr>
                <w:rFonts w:ascii="Times New Roman" w:eastAsia="Times New Roman" w:hAnsi="Times New Roman" w:cs="Times New Roman"/>
                <w:sz w:val="24"/>
                <w:szCs w:val="24"/>
                <w:lang w:eastAsia="lv-LV"/>
              </w:rPr>
              <w:t xml:space="preserve">, </w:t>
            </w:r>
            <w:r w:rsidRPr="00B356F2">
              <w:rPr>
                <w:rFonts w:ascii="Times New Roman" w:eastAsia="Times New Roman" w:hAnsi="Times New Roman" w:cs="Times New Roman"/>
                <w:sz w:val="24"/>
                <w:szCs w:val="24"/>
                <w:lang w:eastAsia="lv-LV"/>
              </w:rPr>
              <w:t>kāds ir finansējumu realizācijas termiņš?</w:t>
            </w:r>
            <w:r>
              <w:rPr>
                <w:rFonts w:ascii="Times New Roman" w:eastAsia="Times New Roman" w:hAnsi="Times New Roman" w:cs="Times New Roman"/>
                <w:sz w:val="24"/>
                <w:szCs w:val="24"/>
                <w:lang w:eastAsia="lv-LV"/>
              </w:rPr>
              <w:t xml:space="preserve"> Kā arī,</w:t>
            </w:r>
            <w:r w:rsidRPr="00B356F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B356F2">
              <w:rPr>
                <w:rFonts w:ascii="Times New Roman" w:eastAsia="Times New Roman" w:hAnsi="Times New Roman" w:cs="Times New Roman"/>
                <w:sz w:val="24"/>
                <w:szCs w:val="24"/>
                <w:lang w:eastAsia="lv-LV"/>
              </w:rPr>
              <w:t>ādā kārtībā paredzēta finansējuma izsniegšana?</w:t>
            </w:r>
          </w:p>
        </w:tc>
      </w:tr>
      <w:tr w:rsidR="00B356F2" w:rsidRPr="00AF2308" w14:paraId="6A8B25DA" w14:textId="77777777" w:rsidTr="00B356F2">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38EB159E" w14:textId="77777777" w:rsidR="00B356F2" w:rsidRDefault="00B356F2" w:rsidP="00A17086">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2.jautājumu:</w:t>
            </w:r>
          </w:p>
          <w:p w14:paraId="4ADBBBF7" w14:textId="77777777" w:rsidR="00B356F2" w:rsidRPr="00B356F2" w:rsidRDefault="00B356F2" w:rsidP="00B356F2">
            <w:pPr>
              <w:spacing w:line="276" w:lineRule="auto"/>
              <w:contextualSpacing/>
              <w:jc w:val="both"/>
              <w:rPr>
                <w:rFonts w:ascii="Times New Roman" w:eastAsia="Times New Roman" w:hAnsi="Times New Roman" w:cs="Times New Roman"/>
                <w:sz w:val="24"/>
                <w:szCs w:val="24"/>
                <w:lang w:eastAsia="lv-LV"/>
              </w:rPr>
            </w:pPr>
          </w:p>
          <w:p w14:paraId="05106FEF" w14:textId="77777777" w:rsidR="00B356F2" w:rsidRPr="00B356F2" w:rsidRDefault="00B356F2" w:rsidP="00B356F2">
            <w:pPr>
              <w:jc w:val="both"/>
              <w:rPr>
                <w:rFonts w:ascii="Times New Roman" w:eastAsia="Calibri" w:hAnsi="Times New Roman" w:cs="Times New Roman"/>
                <w:sz w:val="24"/>
                <w:szCs w:val="24"/>
              </w:rPr>
            </w:pPr>
            <w:r w:rsidRPr="00B356F2">
              <w:rPr>
                <w:rFonts w:ascii="Times New Roman" w:eastAsia="Calibri" w:hAnsi="Times New Roman" w:cs="Times New Roman"/>
                <w:sz w:val="24"/>
                <w:szCs w:val="24"/>
              </w:rPr>
              <w:t>P</w:t>
            </w:r>
            <w:r w:rsidRPr="00B356F2">
              <w:rPr>
                <w:rFonts w:ascii="Times New Roman" w:eastAsia="Calibri" w:hAnsi="Times New Roman" w:cs="Times New Roman"/>
                <w:b/>
                <w:bCs/>
                <w:sz w:val="24"/>
                <w:szCs w:val="24"/>
              </w:rPr>
              <w:t>rojekts ir jāīsteno divu gadu laikā no līguma ar CFLA parakstīšanas dienas</w:t>
            </w:r>
            <w:r w:rsidRPr="00B356F2">
              <w:rPr>
                <w:rFonts w:ascii="Times New Roman" w:eastAsia="Calibri" w:hAnsi="Times New Roman" w:cs="Times New Roman"/>
                <w:sz w:val="24"/>
                <w:szCs w:val="24"/>
              </w:rPr>
              <w:t xml:space="preserve">, ja ar to domājat finansējuma realizācijas termiņu. Kopumā par 3.1.1.3. pasākumā pieejamo Eiropas Reģionālās attīstības </w:t>
            </w:r>
            <w:r w:rsidRPr="00B356F2">
              <w:rPr>
                <w:rFonts w:ascii="Times New Roman" w:eastAsia="Calibri" w:hAnsi="Times New Roman" w:cs="Times New Roman"/>
                <w:sz w:val="24"/>
                <w:szCs w:val="24"/>
              </w:rPr>
              <w:lastRenderedPageBreak/>
              <w:t>fonda (ERAF) finansējumu reizi ceturksnī tiks izsludinātas jaunas atlases kārtas, līdz būs izsmelts viss finansējums – cik ilgā laikā tas notiks, atkarīgs no komersantu intereses un pagaidām nav prognozējams.</w:t>
            </w:r>
          </w:p>
          <w:p w14:paraId="62A2C9D0" w14:textId="77777777" w:rsidR="00B356F2" w:rsidRPr="00B356F2" w:rsidRDefault="00B356F2" w:rsidP="00B356F2">
            <w:pPr>
              <w:jc w:val="both"/>
              <w:rPr>
                <w:rFonts w:ascii="Times New Roman" w:eastAsia="Calibri" w:hAnsi="Times New Roman" w:cs="Times New Roman"/>
                <w:sz w:val="24"/>
                <w:szCs w:val="24"/>
              </w:rPr>
            </w:pPr>
          </w:p>
          <w:p w14:paraId="1A250DED" w14:textId="77777777" w:rsidR="00B356F2" w:rsidRPr="00B356F2" w:rsidRDefault="00B356F2" w:rsidP="00B356F2">
            <w:pPr>
              <w:jc w:val="both"/>
              <w:rPr>
                <w:rFonts w:ascii="Times New Roman" w:eastAsia="Calibri" w:hAnsi="Times New Roman" w:cs="Times New Roman"/>
                <w:b/>
                <w:bCs/>
                <w:sz w:val="24"/>
                <w:szCs w:val="24"/>
              </w:rPr>
            </w:pPr>
            <w:r w:rsidRPr="00B356F2">
              <w:rPr>
                <w:rFonts w:ascii="Times New Roman" w:eastAsia="Calibri" w:hAnsi="Times New Roman" w:cs="Times New Roman"/>
                <w:sz w:val="24"/>
                <w:szCs w:val="24"/>
              </w:rPr>
              <w:t xml:space="preserve">Attēlā redzams </w:t>
            </w:r>
            <w:r w:rsidRPr="00B356F2">
              <w:rPr>
                <w:rFonts w:ascii="Times New Roman" w:eastAsia="Calibri" w:hAnsi="Times New Roman" w:cs="Times New Roman"/>
                <w:b/>
                <w:bCs/>
                <w:sz w:val="24"/>
                <w:szCs w:val="24"/>
              </w:rPr>
              <w:t>indikatīvais atlases procesa laika grafiks:</w:t>
            </w:r>
          </w:p>
          <w:p w14:paraId="1A93FD04" w14:textId="77777777" w:rsidR="00B356F2" w:rsidRPr="00B356F2" w:rsidRDefault="00B356F2" w:rsidP="00B356F2">
            <w:pPr>
              <w:jc w:val="both"/>
              <w:rPr>
                <w:rFonts w:ascii="Times New Roman" w:eastAsia="Calibri" w:hAnsi="Times New Roman" w:cs="Times New Roman"/>
                <w:sz w:val="24"/>
                <w:szCs w:val="24"/>
                <w:lang w:eastAsia="lv-LV"/>
              </w:rPr>
            </w:pPr>
          </w:p>
          <w:p w14:paraId="3A5E339B" w14:textId="77777777" w:rsidR="00B356F2" w:rsidRPr="00B356F2" w:rsidRDefault="00B356F2" w:rsidP="00B356F2">
            <w:pPr>
              <w:jc w:val="both"/>
              <w:rPr>
                <w:rFonts w:ascii="Times New Roman" w:eastAsia="Calibri" w:hAnsi="Times New Roman" w:cs="Times New Roman"/>
                <w:sz w:val="24"/>
                <w:szCs w:val="24"/>
              </w:rPr>
            </w:pPr>
            <w:r w:rsidRPr="00B356F2">
              <w:rPr>
                <w:rFonts w:ascii="Times New Roman" w:eastAsia="Calibri" w:hAnsi="Times New Roman" w:cs="Times New Roman"/>
                <w:noProof/>
                <w:sz w:val="24"/>
                <w:szCs w:val="24"/>
                <w:lang w:eastAsia="lv-LV"/>
              </w:rPr>
              <w:drawing>
                <wp:inline distT="0" distB="0" distL="0" distR="0" wp14:anchorId="6790903D" wp14:editId="2FFA67B3">
                  <wp:extent cx="6896100" cy="3095625"/>
                  <wp:effectExtent l="0" t="0" r="0" b="9525"/>
                  <wp:docPr id="1" name="Picture 7" descr="cid:image005.jpg@01D5FDCB.A6EB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jpg@01D5FDCB.A6EB89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96100" cy="3095625"/>
                          </a:xfrm>
                          <a:prstGeom prst="rect">
                            <a:avLst/>
                          </a:prstGeom>
                          <a:noFill/>
                          <a:ln>
                            <a:noFill/>
                          </a:ln>
                        </pic:spPr>
                      </pic:pic>
                    </a:graphicData>
                  </a:graphic>
                </wp:inline>
              </w:drawing>
            </w:r>
          </w:p>
          <w:p w14:paraId="4AEEA124" w14:textId="77777777" w:rsidR="00B356F2" w:rsidRPr="00B356F2" w:rsidRDefault="00B356F2" w:rsidP="00B356F2">
            <w:pPr>
              <w:jc w:val="both"/>
              <w:rPr>
                <w:rFonts w:ascii="Times New Roman" w:eastAsia="Calibri" w:hAnsi="Times New Roman" w:cs="Times New Roman"/>
                <w:sz w:val="24"/>
                <w:szCs w:val="24"/>
              </w:rPr>
            </w:pPr>
          </w:p>
          <w:p w14:paraId="3FA8C821" w14:textId="77777777" w:rsidR="00B356F2" w:rsidRPr="00B356F2" w:rsidRDefault="00B356F2" w:rsidP="00B356F2">
            <w:pPr>
              <w:jc w:val="both"/>
              <w:rPr>
                <w:rFonts w:ascii="Times New Roman" w:eastAsia="Calibri" w:hAnsi="Times New Roman" w:cs="Times New Roman"/>
                <w:sz w:val="24"/>
                <w:szCs w:val="24"/>
              </w:rPr>
            </w:pPr>
            <w:r w:rsidRPr="00B356F2">
              <w:rPr>
                <w:rFonts w:ascii="Times New Roman" w:eastAsia="Calibri" w:hAnsi="Times New Roman" w:cs="Times New Roman"/>
                <w:sz w:val="24"/>
                <w:szCs w:val="24"/>
              </w:rPr>
              <w:t xml:space="preserve">Ja projekta iesniegums ir atbilstošs visiem atlases kritērijiem, un tam atlases ietvaros ir pieejams finansējums, tas tiek apstiprināts, tādējādi </w:t>
            </w:r>
            <w:r w:rsidRPr="00B356F2">
              <w:rPr>
                <w:rFonts w:ascii="Times New Roman" w:eastAsia="Calibri" w:hAnsi="Times New Roman" w:cs="Times New Roman"/>
                <w:b/>
                <w:bCs/>
                <w:sz w:val="24"/>
                <w:szCs w:val="24"/>
              </w:rPr>
              <w:t>piešķirot ERAF finansējumu</w:t>
            </w:r>
            <w:r w:rsidRPr="00B356F2">
              <w:rPr>
                <w:rFonts w:ascii="Times New Roman" w:eastAsia="Calibri" w:hAnsi="Times New Roman" w:cs="Times New Roman"/>
                <w:sz w:val="24"/>
                <w:szCs w:val="24"/>
              </w:rPr>
              <w:t xml:space="preserve">. Savukārt </w:t>
            </w:r>
            <w:r w:rsidRPr="00B356F2">
              <w:rPr>
                <w:rFonts w:ascii="Times New Roman" w:eastAsia="Calibri" w:hAnsi="Times New Roman" w:cs="Times New Roman"/>
                <w:b/>
                <w:bCs/>
                <w:sz w:val="24"/>
                <w:szCs w:val="24"/>
              </w:rPr>
              <w:t>ERAF finansējuma faktiskā izmaksa</w:t>
            </w:r>
            <w:r w:rsidRPr="00B356F2">
              <w:rPr>
                <w:rFonts w:ascii="Times New Roman" w:eastAsia="Calibri" w:hAnsi="Times New Roman" w:cs="Times New Roman"/>
                <w:sz w:val="24"/>
                <w:szCs w:val="24"/>
              </w:rPr>
              <w:t xml:space="preserve"> šajā pasākumā notiek, kad projekts ir pabeigts, t.i., akcijas vai obligācijas ir sekmīgi iekļautas tirdzniecības vietā.</w:t>
            </w:r>
          </w:p>
          <w:p w14:paraId="491282F6" w14:textId="77777777" w:rsidR="00B356F2" w:rsidRPr="00B356F2" w:rsidRDefault="00B356F2" w:rsidP="00B356F2">
            <w:pPr>
              <w:jc w:val="both"/>
              <w:rPr>
                <w:rFonts w:ascii="Times New Roman" w:eastAsia="Calibri" w:hAnsi="Times New Roman" w:cs="Times New Roman"/>
                <w:sz w:val="24"/>
                <w:szCs w:val="24"/>
              </w:rPr>
            </w:pPr>
          </w:p>
          <w:p w14:paraId="7ACECC93" w14:textId="34691B50" w:rsidR="00B356F2" w:rsidRPr="00B356F2" w:rsidRDefault="00B356F2" w:rsidP="00B356F2">
            <w:pPr>
              <w:jc w:val="both"/>
              <w:rPr>
                <w:rFonts w:ascii="Calibri" w:eastAsia="Calibri" w:hAnsi="Calibri" w:cs="Calibri"/>
                <w:lang w:eastAsia="lv-LV"/>
              </w:rPr>
            </w:pPr>
            <w:r w:rsidRPr="00B356F2">
              <w:rPr>
                <w:rFonts w:ascii="Times New Roman" w:eastAsia="Calibri" w:hAnsi="Times New Roman" w:cs="Times New Roman"/>
                <w:sz w:val="24"/>
                <w:szCs w:val="24"/>
              </w:rPr>
              <w:t xml:space="preserve">Vairāk informācijas, t.sk. video ieraksts un prezentācijas no 18. marta e-semināra, pieejams tīmekļvietnē </w:t>
            </w:r>
            <w:hyperlink r:id="rId9" w:history="1">
              <w:r w:rsidRPr="00B356F2">
                <w:rPr>
                  <w:rFonts w:ascii="Times New Roman" w:eastAsia="Calibri" w:hAnsi="Times New Roman" w:cs="Times New Roman"/>
                  <w:color w:val="0563C1"/>
                  <w:sz w:val="24"/>
                  <w:szCs w:val="24"/>
                  <w:u w:val="single"/>
                  <w:lang w:eastAsia="lv-LV"/>
                </w:rPr>
                <w:t>https://cfla.gov.lv/lv/es-fondi-2014-2020/izsludinatas-atlases/3-1-1-3-k-1</w:t>
              </w:r>
            </w:hyperlink>
            <w:r w:rsidRPr="00B356F2">
              <w:rPr>
                <w:rFonts w:ascii="Times New Roman" w:eastAsia="Calibri" w:hAnsi="Times New Roman" w:cs="Times New Roman"/>
                <w:sz w:val="24"/>
                <w:szCs w:val="24"/>
                <w:lang w:eastAsia="lv-LV"/>
              </w:rPr>
              <w:t>.</w:t>
            </w:r>
          </w:p>
        </w:tc>
      </w:tr>
      <w:tr w:rsidR="00117EAF" w:rsidRPr="00AF2308" w14:paraId="2193E401" w14:textId="77777777" w:rsidTr="00117EAF">
        <w:tc>
          <w:tcPr>
            <w:tcW w:w="1046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25ED327" w14:textId="77777777" w:rsidR="00117EAF" w:rsidRDefault="00117EAF" w:rsidP="00A17086">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3.jautājums:</w:t>
            </w:r>
            <w:r>
              <w:rPr>
                <w:rFonts w:ascii="Times New Roman" w:eastAsia="Times New Roman" w:hAnsi="Times New Roman" w:cs="Times New Roman"/>
                <w:sz w:val="24"/>
                <w:szCs w:val="24"/>
                <w:lang w:eastAsia="lv-LV"/>
              </w:rPr>
              <w:br/>
            </w:r>
          </w:p>
          <w:p w14:paraId="2F957894" w14:textId="0D3EB468" w:rsidR="00117EAF" w:rsidRPr="00117EAF" w:rsidRDefault="00117EAF" w:rsidP="00117EA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117EAF">
              <w:rPr>
                <w:rFonts w:ascii="Times New Roman" w:eastAsia="Times New Roman" w:hAnsi="Times New Roman" w:cs="Times New Roman"/>
                <w:sz w:val="24"/>
                <w:szCs w:val="24"/>
                <w:lang w:eastAsia="lv-LV"/>
              </w:rPr>
              <w:t>ai MVU tips ir jāvērtē pēc parastā vai konsolidētā gada pārskata datiem?</w:t>
            </w:r>
          </w:p>
          <w:p w14:paraId="766F2964" w14:textId="5FA34ED7" w:rsidR="00117EAF" w:rsidRDefault="00117EAF" w:rsidP="00117EA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117EAF">
              <w:rPr>
                <w:rFonts w:ascii="Times New Roman" w:eastAsia="Times New Roman" w:hAnsi="Times New Roman" w:cs="Times New Roman"/>
                <w:sz w:val="24"/>
                <w:szCs w:val="24"/>
                <w:lang w:eastAsia="lv-LV"/>
              </w:rPr>
              <w:t>ēlos saprast</w:t>
            </w:r>
            <w:r>
              <w:rPr>
                <w:rFonts w:ascii="Times New Roman" w:eastAsia="Times New Roman" w:hAnsi="Times New Roman" w:cs="Times New Roman"/>
                <w:sz w:val="24"/>
                <w:szCs w:val="24"/>
                <w:lang w:eastAsia="lv-LV"/>
              </w:rPr>
              <w:t xml:space="preserve"> arī</w:t>
            </w:r>
            <w:r w:rsidRPr="00117EAF">
              <w:rPr>
                <w:rFonts w:ascii="Times New Roman" w:eastAsia="Times New Roman" w:hAnsi="Times New Roman" w:cs="Times New Roman"/>
                <w:sz w:val="24"/>
                <w:szCs w:val="24"/>
                <w:lang w:eastAsia="lv-LV"/>
              </w:rPr>
              <w:t xml:space="preserve"> par pilnīgi visu datu aizpildes izvērtēšanu</w:t>
            </w:r>
            <w:r>
              <w:rPr>
                <w:rFonts w:ascii="Times New Roman" w:eastAsia="Times New Roman" w:hAnsi="Times New Roman" w:cs="Times New Roman"/>
                <w:sz w:val="24"/>
                <w:szCs w:val="24"/>
                <w:lang w:eastAsia="lv-LV"/>
              </w:rPr>
              <w:t xml:space="preserve"> -</w:t>
            </w:r>
            <w:r w:rsidRPr="00117EAF">
              <w:rPr>
                <w:rFonts w:ascii="Times New Roman" w:eastAsia="Times New Roman" w:hAnsi="Times New Roman" w:cs="Times New Roman"/>
                <w:sz w:val="24"/>
                <w:szCs w:val="24"/>
                <w:lang w:eastAsia="lv-LV"/>
              </w:rPr>
              <w:t xml:space="preserve"> kurus datus man jāņem vērā kā pamatdatus projektam?</w:t>
            </w:r>
          </w:p>
        </w:tc>
      </w:tr>
      <w:tr w:rsidR="00117EAF" w:rsidRPr="00AF2308" w14:paraId="58E185D8" w14:textId="77777777" w:rsidTr="00B356F2">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34FC445C" w14:textId="77777777" w:rsidR="00117EAF" w:rsidRDefault="00117EAF" w:rsidP="00EF28FC">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3.jautājumu:</w:t>
            </w:r>
          </w:p>
          <w:p w14:paraId="7C2757EA" w14:textId="77777777" w:rsidR="00117EAF" w:rsidRPr="00117EAF" w:rsidRDefault="00117EAF" w:rsidP="00EF28FC">
            <w:pPr>
              <w:spacing w:line="276" w:lineRule="auto"/>
              <w:contextualSpacing/>
              <w:jc w:val="both"/>
              <w:rPr>
                <w:rFonts w:ascii="Times New Roman" w:eastAsia="Times New Roman" w:hAnsi="Times New Roman" w:cs="Times New Roman"/>
                <w:sz w:val="24"/>
                <w:szCs w:val="24"/>
                <w:lang w:eastAsia="lv-LV"/>
              </w:rPr>
            </w:pPr>
          </w:p>
          <w:p w14:paraId="38586883" w14:textId="77777777" w:rsidR="00117EAF" w:rsidRPr="00117EAF" w:rsidRDefault="00117EAF" w:rsidP="00EF28FC">
            <w:pPr>
              <w:spacing w:line="276" w:lineRule="auto"/>
              <w:jc w:val="both"/>
              <w:rPr>
                <w:rFonts w:ascii="Times New Roman" w:eastAsia="Calibri" w:hAnsi="Times New Roman" w:cs="Times New Roman"/>
                <w:sz w:val="24"/>
                <w:szCs w:val="24"/>
              </w:rPr>
            </w:pPr>
            <w:r w:rsidRPr="00117EAF">
              <w:rPr>
                <w:rFonts w:ascii="Times New Roman" w:eastAsia="Calibri" w:hAnsi="Times New Roman" w:cs="Times New Roman"/>
                <w:sz w:val="24"/>
                <w:szCs w:val="24"/>
              </w:rPr>
              <w:t xml:space="preserve">MVU tips jāvērtē </w:t>
            </w:r>
            <w:r w:rsidRPr="00117EAF">
              <w:rPr>
                <w:rFonts w:ascii="Times New Roman" w:eastAsia="Calibri" w:hAnsi="Times New Roman" w:cs="Times New Roman"/>
                <w:b/>
                <w:bCs/>
                <w:sz w:val="24"/>
                <w:szCs w:val="24"/>
              </w:rPr>
              <w:t>pēc konsolidētā gada pārskata datiem</w:t>
            </w:r>
            <w:r w:rsidRPr="00117EAF">
              <w:rPr>
                <w:rFonts w:ascii="Times New Roman" w:eastAsia="Calibri" w:hAnsi="Times New Roman" w:cs="Times New Roman"/>
                <w:sz w:val="24"/>
                <w:szCs w:val="24"/>
              </w:rPr>
              <w:t>. Ja kāds komersants, kas ietilpst saistīto uzņēmumu grupā, nav konsolidēts, par to datus pieskaita papildus.</w:t>
            </w:r>
          </w:p>
          <w:p w14:paraId="32AE4886" w14:textId="77777777" w:rsidR="00117EAF" w:rsidRPr="00117EAF" w:rsidRDefault="00117EAF" w:rsidP="00EF28FC">
            <w:pPr>
              <w:spacing w:line="276" w:lineRule="auto"/>
              <w:jc w:val="both"/>
              <w:rPr>
                <w:rFonts w:ascii="Times New Roman" w:eastAsia="Calibri" w:hAnsi="Times New Roman" w:cs="Times New Roman"/>
                <w:sz w:val="24"/>
                <w:szCs w:val="24"/>
              </w:rPr>
            </w:pPr>
            <w:r w:rsidRPr="00117EAF">
              <w:rPr>
                <w:rFonts w:ascii="Times New Roman" w:eastAsia="Calibri" w:hAnsi="Times New Roman" w:cs="Times New Roman"/>
                <w:sz w:val="24"/>
                <w:szCs w:val="24"/>
              </w:rPr>
              <w:t>Kopumā MVU statusa pārbaudei ir jāiekļauj šādi dati:</w:t>
            </w:r>
          </w:p>
          <w:p w14:paraId="63211BD6" w14:textId="77777777" w:rsidR="00117EAF" w:rsidRPr="00117EAF" w:rsidRDefault="00117EAF" w:rsidP="00EF28FC">
            <w:pPr>
              <w:numPr>
                <w:ilvl w:val="0"/>
                <w:numId w:val="15"/>
              </w:numPr>
              <w:spacing w:line="276" w:lineRule="auto"/>
              <w:jc w:val="both"/>
              <w:rPr>
                <w:rFonts w:ascii="Times New Roman" w:eastAsia="Times New Roman" w:hAnsi="Times New Roman" w:cs="Times New Roman"/>
                <w:sz w:val="24"/>
                <w:szCs w:val="24"/>
              </w:rPr>
            </w:pPr>
            <w:r w:rsidRPr="00117EAF">
              <w:rPr>
                <w:rFonts w:ascii="Times New Roman" w:eastAsia="Times New Roman" w:hAnsi="Times New Roman" w:cs="Times New Roman"/>
                <w:sz w:val="24"/>
                <w:szCs w:val="24"/>
              </w:rPr>
              <w:t>visu pirmā līmeņa partneruzņēmumu dati (tie, kas atrodas tieši pirms vai pēc atbalsta pretendenta un attiecīgi partneruzņēmuma partnera dati netiek iekļauti MVU statusa pārbaudē);</w:t>
            </w:r>
          </w:p>
          <w:p w14:paraId="0835D4CF" w14:textId="77777777" w:rsidR="00117EAF" w:rsidRPr="00117EAF" w:rsidRDefault="00117EAF" w:rsidP="00EF28FC">
            <w:pPr>
              <w:numPr>
                <w:ilvl w:val="0"/>
                <w:numId w:val="15"/>
              </w:numPr>
              <w:spacing w:line="276" w:lineRule="auto"/>
              <w:jc w:val="both"/>
              <w:rPr>
                <w:rFonts w:ascii="Times New Roman" w:eastAsia="Times New Roman" w:hAnsi="Times New Roman" w:cs="Times New Roman"/>
                <w:sz w:val="24"/>
                <w:szCs w:val="24"/>
              </w:rPr>
            </w:pPr>
            <w:r w:rsidRPr="00117EAF">
              <w:rPr>
                <w:rFonts w:ascii="Times New Roman" w:eastAsia="Times New Roman" w:hAnsi="Times New Roman" w:cs="Times New Roman"/>
                <w:sz w:val="24"/>
                <w:szCs w:val="24"/>
              </w:rPr>
              <w:t>visu saistīto uzņēmumu dati;</w:t>
            </w:r>
          </w:p>
          <w:p w14:paraId="1431CA8A" w14:textId="77777777" w:rsidR="00117EAF" w:rsidRPr="00117EAF" w:rsidRDefault="00117EAF" w:rsidP="00EF28FC">
            <w:pPr>
              <w:numPr>
                <w:ilvl w:val="0"/>
                <w:numId w:val="15"/>
              </w:numPr>
              <w:spacing w:line="276" w:lineRule="auto"/>
              <w:jc w:val="both"/>
              <w:rPr>
                <w:rFonts w:ascii="Times New Roman" w:eastAsia="Times New Roman" w:hAnsi="Times New Roman" w:cs="Times New Roman"/>
                <w:sz w:val="24"/>
                <w:szCs w:val="24"/>
              </w:rPr>
            </w:pPr>
            <w:r w:rsidRPr="00117EAF">
              <w:rPr>
                <w:rFonts w:ascii="Times New Roman" w:eastAsia="Times New Roman" w:hAnsi="Times New Roman" w:cs="Times New Roman"/>
                <w:sz w:val="24"/>
                <w:szCs w:val="24"/>
              </w:rPr>
              <w:t>visu ar partneruzņēmumiem saistīto uzņēmumu dati, ja partneruzņēmums atrodas pirmajā līmenī pret atbalsta pretendentu (tieši saistīts ar atbalsta pretendentu);</w:t>
            </w:r>
          </w:p>
          <w:p w14:paraId="5533D298" w14:textId="77777777" w:rsidR="00117EAF" w:rsidRPr="00117EAF" w:rsidRDefault="00117EAF" w:rsidP="00EF28FC">
            <w:pPr>
              <w:numPr>
                <w:ilvl w:val="0"/>
                <w:numId w:val="15"/>
              </w:numPr>
              <w:spacing w:line="276" w:lineRule="auto"/>
              <w:jc w:val="both"/>
              <w:rPr>
                <w:rFonts w:ascii="Times New Roman" w:eastAsia="Times New Roman" w:hAnsi="Times New Roman" w:cs="Times New Roman"/>
                <w:sz w:val="24"/>
                <w:szCs w:val="24"/>
              </w:rPr>
            </w:pPr>
            <w:r w:rsidRPr="00117EAF">
              <w:rPr>
                <w:rFonts w:ascii="Times New Roman" w:eastAsia="Times New Roman" w:hAnsi="Times New Roman" w:cs="Times New Roman"/>
                <w:sz w:val="24"/>
                <w:szCs w:val="24"/>
              </w:rPr>
              <w:t>visu ar saistītajiem uzņēmumiem saistīto uzņēmumu dati;</w:t>
            </w:r>
          </w:p>
          <w:p w14:paraId="4022EF7B" w14:textId="77777777" w:rsidR="00117EAF" w:rsidRPr="00117EAF" w:rsidRDefault="00117EAF" w:rsidP="00EF28FC">
            <w:pPr>
              <w:numPr>
                <w:ilvl w:val="0"/>
                <w:numId w:val="15"/>
              </w:numPr>
              <w:spacing w:line="276" w:lineRule="auto"/>
              <w:jc w:val="both"/>
              <w:rPr>
                <w:rFonts w:ascii="Times New Roman" w:eastAsia="Times New Roman" w:hAnsi="Times New Roman" w:cs="Times New Roman"/>
                <w:sz w:val="24"/>
                <w:szCs w:val="24"/>
              </w:rPr>
            </w:pPr>
            <w:r w:rsidRPr="00117EAF">
              <w:rPr>
                <w:rFonts w:ascii="Times New Roman" w:eastAsia="Times New Roman" w:hAnsi="Times New Roman" w:cs="Times New Roman"/>
                <w:sz w:val="24"/>
                <w:szCs w:val="24"/>
              </w:rPr>
              <w:t>visu saistīto uzņēmumu partneruzņēmumu dati.</w:t>
            </w:r>
          </w:p>
          <w:p w14:paraId="174A087E" w14:textId="77777777" w:rsidR="00117EAF" w:rsidRPr="00117EAF" w:rsidRDefault="00117EAF" w:rsidP="00EF28FC">
            <w:pPr>
              <w:spacing w:line="276" w:lineRule="auto"/>
              <w:jc w:val="both"/>
              <w:rPr>
                <w:rFonts w:ascii="Times New Roman" w:eastAsia="Calibri" w:hAnsi="Times New Roman" w:cs="Times New Roman"/>
                <w:sz w:val="24"/>
                <w:szCs w:val="24"/>
                <w:highlight w:val="yellow"/>
              </w:rPr>
            </w:pPr>
          </w:p>
          <w:p w14:paraId="0E349634" w14:textId="77777777" w:rsidR="00117EAF" w:rsidRPr="00117EAF" w:rsidRDefault="00117EAF" w:rsidP="00EF28FC">
            <w:pPr>
              <w:spacing w:line="276" w:lineRule="auto"/>
              <w:jc w:val="both"/>
              <w:rPr>
                <w:rFonts w:ascii="Times New Roman" w:eastAsia="Calibri" w:hAnsi="Times New Roman" w:cs="Times New Roman"/>
                <w:sz w:val="24"/>
                <w:szCs w:val="24"/>
              </w:rPr>
            </w:pPr>
            <w:r w:rsidRPr="00117EAF">
              <w:rPr>
                <w:rFonts w:ascii="Times New Roman" w:eastAsia="Calibri" w:hAnsi="Times New Roman" w:cs="Times New Roman"/>
                <w:sz w:val="24"/>
                <w:szCs w:val="24"/>
              </w:rPr>
              <w:t xml:space="preserve">Pārējie dati jāaizpilda atbilstoši to kontekstam – </w:t>
            </w:r>
            <w:r w:rsidRPr="00117EAF">
              <w:rPr>
                <w:rFonts w:ascii="Times New Roman" w:eastAsia="Calibri" w:hAnsi="Times New Roman" w:cs="Times New Roman"/>
                <w:b/>
                <w:bCs/>
                <w:sz w:val="24"/>
                <w:szCs w:val="24"/>
              </w:rPr>
              <w:t>pamatā projekta iesniegums aizpildāms ar datiem par projekta iesniedzēju atsevišķi</w:t>
            </w:r>
            <w:r w:rsidRPr="00117EAF">
              <w:rPr>
                <w:rFonts w:ascii="Times New Roman" w:eastAsia="Calibri" w:hAnsi="Times New Roman" w:cs="Times New Roman"/>
                <w:sz w:val="24"/>
                <w:szCs w:val="24"/>
              </w:rPr>
              <w:t xml:space="preserve">, taču, piemēram, biznesa plāna minimālajā informācijā jāiekļauj pamatinformācija par saistīto uzņēmumu grupas struktūru un, ja finansējuma pieejamību plānots pierādīts </w:t>
            </w:r>
            <w:r w:rsidRPr="00117EAF">
              <w:rPr>
                <w:rFonts w:ascii="Times New Roman" w:eastAsia="Calibri" w:hAnsi="Times New Roman" w:cs="Times New Roman"/>
                <w:sz w:val="24"/>
                <w:szCs w:val="24"/>
              </w:rPr>
              <w:lastRenderedPageBreak/>
              <w:t>ar aizdevuma līgumu, kas noslēgts ar saistīto personu, būtu jāsniedz informācija arī par tā finanšu rādītājiem, kas pamato spēju sniegt aizdevumu. Projekta iesniedzējam jāizvērtē, kura informācija par saistītajiem uzņēmumiem ir būtiska, lai pamatotu finansējuma piesaistes nepieciešamību, projekta īstenošanas kapacitāti u.tml. vērtējamos aspektus.</w:t>
            </w:r>
          </w:p>
          <w:p w14:paraId="6EC00DE2" w14:textId="17146DCB" w:rsidR="00117EAF" w:rsidRPr="00117EAF" w:rsidRDefault="00117EAF" w:rsidP="00EF28FC">
            <w:pPr>
              <w:spacing w:line="276" w:lineRule="auto"/>
              <w:jc w:val="both"/>
              <w:rPr>
                <w:rFonts w:ascii="Times New Roman" w:eastAsia="Calibri" w:hAnsi="Times New Roman" w:cs="Times New Roman"/>
                <w:sz w:val="24"/>
                <w:szCs w:val="24"/>
              </w:rPr>
            </w:pPr>
            <w:r w:rsidRPr="00117EAF">
              <w:rPr>
                <w:rFonts w:ascii="Times New Roman" w:eastAsia="Calibri" w:hAnsi="Times New Roman" w:cs="Times New Roman"/>
                <w:sz w:val="24"/>
                <w:szCs w:val="24"/>
              </w:rPr>
              <w:t xml:space="preserve">Ar to, kāda informācija tiks vērtēta, var iepazīties </w:t>
            </w:r>
            <w:hyperlink r:id="rId10" w:history="1">
              <w:r w:rsidRPr="00117EAF">
                <w:rPr>
                  <w:rFonts w:ascii="Times New Roman" w:eastAsia="Calibri" w:hAnsi="Times New Roman" w:cs="Times New Roman"/>
                  <w:color w:val="0563C1"/>
                  <w:sz w:val="24"/>
                  <w:szCs w:val="24"/>
                  <w:u w:val="single"/>
                </w:rPr>
                <w:t>vērtēšanas kritēriju piemērošanas metodikā.</w:t>
              </w:r>
            </w:hyperlink>
          </w:p>
        </w:tc>
      </w:tr>
      <w:tr w:rsidR="00E86305" w:rsidRPr="00AF2308" w14:paraId="698410BB" w14:textId="77777777" w:rsidTr="00E86305">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061CDA" w14:textId="77777777" w:rsidR="00E86305" w:rsidRDefault="00E86305" w:rsidP="00A17086">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4.jautājums:</w:t>
            </w:r>
          </w:p>
          <w:p w14:paraId="0ACE25FC" w14:textId="77777777" w:rsidR="00E86305" w:rsidRDefault="00E86305" w:rsidP="00A17086">
            <w:pPr>
              <w:spacing w:line="276" w:lineRule="auto"/>
              <w:contextualSpacing/>
              <w:jc w:val="both"/>
              <w:rPr>
                <w:rFonts w:ascii="Times New Roman" w:eastAsia="Times New Roman" w:hAnsi="Times New Roman" w:cs="Times New Roman"/>
                <w:sz w:val="24"/>
                <w:szCs w:val="24"/>
                <w:lang w:eastAsia="lv-LV"/>
              </w:rPr>
            </w:pPr>
          </w:p>
          <w:p w14:paraId="286FF12D" w14:textId="13793E7B" w:rsidR="00E86305" w:rsidRDefault="00E86305" w:rsidP="00A17086">
            <w:pPr>
              <w:spacing w:line="276" w:lineRule="auto"/>
              <w:contextualSpacing/>
              <w:jc w:val="both"/>
              <w:rPr>
                <w:rFonts w:ascii="Times New Roman" w:eastAsia="Times New Roman" w:hAnsi="Times New Roman" w:cs="Times New Roman"/>
                <w:sz w:val="24"/>
                <w:szCs w:val="24"/>
                <w:lang w:eastAsia="lv-LV"/>
              </w:rPr>
            </w:pPr>
            <w:r w:rsidRPr="00E86305">
              <w:rPr>
                <w:rFonts w:ascii="Times New Roman" w:eastAsia="Times New Roman" w:hAnsi="Times New Roman" w:cs="Times New Roman"/>
                <w:sz w:val="24"/>
                <w:szCs w:val="24"/>
                <w:lang w:eastAsia="lv-LV"/>
              </w:rPr>
              <w:t>Sakiet, lūdzu, cik reāla iespēja šo projektu realizēt un saņemt finansējumu mazai reklāmas aģentūrai? Apgr</w:t>
            </w:r>
            <w:r>
              <w:rPr>
                <w:rFonts w:ascii="Times New Roman" w:eastAsia="Times New Roman" w:hAnsi="Times New Roman" w:cs="Times New Roman"/>
                <w:sz w:val="24"/>
                <w:szCs w:val="24"/>
                <w:lang w:eastAsia="lv-LV"/>
              </w:rPr>
              <w:t>ozījums ir</w:t>
            </w:r>
            <w:r w:rsidRPr="00E86305">
              <w:rPr>
                <w:rFonts w:ascii="Times New Roman" w:eastAsia="Times New Roman" w:hAnsi="Times New Roman" w:cs="Times New Roman"/>
                <w:sz w:val="24"/>
                <w:szCs w:val="24"/>
                <w:lang w:eastAsia="lv-LV"/>
              </w:rPr>
              <w:t xml:space="preserve"> 1 </w:t>
            </w:r>
            <w:proofErr w:type="spellStart"/>
            <w:r w:rsidRPr="00E86305">
              <w:rPr>
                <w:rFonts w:ascii="Times New Roman" w:eastAsia="Times New Roman" w:hAnsi="Times New Roman" w:cs="Times New Roman"/>
                <w:sz w:val="24"/>
                <w:szCs w:val="24"/>
                <w:lang w:eastAsia="lv-LV"/>
              </w:rPr>
              <w:t>mln</w:t>
            </w:r>
            <w:proofErr w:type="spellEnd"/>
            <w:r w:rsidRPr="00E86305">
              <w:rPr>
                <w:rFonts w:ascii="Times New Roman" w:eastAsia="Times New Roman" w:hAnsi="Times New Roman" w:cs="Times New Roman"/>
                <w:sz w:val="24"/>
                <w:szCs w:val="24"/>
                <w:lang w:eastAsia="lv-LV"/>
              </w:rPr>
              <w:t xml:space="preserve"> </w:t>
            </w:r>
            <w:proofErr w:type="spellStart"/>
            <w:r w:rsidRPr="00E86305">
              <w:rPr>
                <w:rFonts w:ascii="Times New Roman" w:eastAsia="Times New Roman" w:hAnsi="Times New Roman" w:cs="Times New Roman"/>
                <w:i/>
                <w:sz w:val="24"/>
                <w:szCs w:val="24"/>
                <w:lang w:eastAsia="lv-LV"/>
              </w:rPr>
              <w:t>euro</w:t>
            </w:r>
            <w:proofErr w:type="spellEnd"/>
            <w:r w:rsidRPr="00E86305">
              <w:rPr>
                <w:rFonts w:ascii="Times New Roman" w:eastAsia="Times New Roman" w:hAnsi="Times New Roman" w:cs="Times New Roman"/>
                <w:sz w:val="24"/>
                <w:szCs w:val="24"/>
                <w:lang w:eastAsia="lv-LV"/>
              </w:rPr>
              <w:t xml:space="preserve"> (30% </w:t>
            </w:r>
            <w:proofErr w:type="spellStart"/>
            <w:r w:rsidRPr="00E86305">
              <w:rPr>
                <w:rFonts w:ascii="Times New Roman" w:eastAsia="Times New Roman" w:hAnsi="Times New Roman" w:cs="Times New Roman"/>
                <w:sz w:val="24"/>
                <w:szCs w:val="24"/>
                <w:lang w:eastAsia="lv-LV"/>
              </w:rPr>
              <w:t>YoY</w:t>
            </w:r>
            <w:proofErr w:type="spellEnd"/>
            <w:r w:rsidRPr="00E86305">
              <w:rPr>
                <w:rFonts w:ascii="Times New Roman" w:eastAsia="Times New Roman" w:hAnsi="Times New Roman" w:cs="Times New Roman"/>
                <w:sz w:val="24"/>
                <w:szCs w:val="24"/>
                <w:lang w:eastAsia="lv-LV"/>
              </w:rPr>
              <w:t xml:space="preserve"> </w:t>
            </w:r>
            <w:proofErr w:type="spellStart"/>
            <w:r w:rsidRPr="00E86305">
              <w:rPr>
                <w:rFonts w:ascii="Times New Roman" w:eastAsia="Times New Roman" w:hAnsi="Times New Roman" w:cs="Times New Roman"/>
                <w:sz w:val="24"/>
                <w:szCs w:val="24"/>
                <w:lang w:eastAsia="lv-LV"/>
              </w:rPr>
              <w:t>Revenue</w:t>
            </w:r>
            <w:proofErr w:type="spellEnd"/>
            <w:r w:rsidRPr="00E86305">
              <w:rPr>
                <w:rFonts w:ascii="Times New Roman" w:eastAsia="Times New Roman" w:hAnsi="Times New Roman" w:cs="Times New Roman"/>
                <w:sz w:val="24"/>
                <w:szCs w:val="24"/>
                <w:lang w:eastAsia="lv-LV"/>
              </w:rPr>
              <w:t xml:space="preserve"> izaugsme).</w:t>
            </w:r>
          </w:p>
        </w:tc>
      </w:tr>
      <w:tr w:rsidR="00E86305" w:rsidRPr="00AF2308" w14:paraId="27E91B54" w14:textId="77777777" w:rsidTr="00E86305">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657C0A" w14:textId="18CE57DF" w:rsidR="00E86305" w:rsidRDefault="00E86305" w:rsidP="00E86305">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4.jautājumu:</w:t>
            </w:r>
          </w:p>
          <w:p w14:paraId="22C9328B" w14:textId="77777777" w:rsidR="00E86305" w:rsidRDefault="00E86305" w:rsidP="00E86305">
            <w:pPr>
              <w:spacing w:line="276" w:lineRule="auto"/>
              <w:contextualSpacing/>
              <w:jc w:val="both"/>
              <w:rPr>
                <w:rFonts w:ascii="Times New Roman" w:eastAsia="Times New Roman" w:hAnsi="Times New Roman" w:cs="Times New Roman"/>
                <w:sz w:val="24"/>
                <w:szCs w:val="24"/>
                <w:lang w:eastAsia="lv-LV"/>
              </w:rPr>
            </w:pPr>
          </w:p>
          <w:p w14:paraId="54A933F5" w14:textId="1E544AE0" w:rsidR="00E86305" w:rsidRPr="00E86305" w:rsidRDefault="00E86305" w:rsidP="00E86305">
            <w:pPr>
              <w:spacing w:line="276" w:lineRule="auto"/>
              <w:contextualSpacing/>
              <w:jc w:val="both"/>
              <w:rPr>
                <w:rFonts w:ascii="Times New Roman" w:eastAsia="Times New Roman" w:hAnsi="Times New Roman" w:cs="Times New Roman"/>
                <w:sz w:val="24"/>
                <w:szCs w:val="24"/>
                <w:lang w:eastAsia="lv-LV"/>
              </w:rPr>
            </w:pPr>
            <w:r w:rsidRPr="00E86305">
              <w:rPr>
                <w:rFonts w:ascii="Times New Roman" w:eastAsia="Times New Roman" w:hAnsi="Times New Roman" w:cs="Times New Roman"/>
                <w:sz w:val="24"/>
                <w:szCs w:val="24"/>
                <w:lang w:eastAsia="lv-LV"/>
              </w:rPr>
              <w:t xml:space="preserve">Apgrozījums tiešā veidā tiek vērtēts, tikai nosakot, vai projekta iesniedzējs atbilst MVU statusam, tātad, ja Jūsu uzņēmuma apgrozījums ir 1 miljons </w:t>
            </w:r>
            <w:proofErr w:type="spellStart"/>
            <w:r w:rsidRPr="00E86305">
              <w:rPr>
                <w:rFonts w:ascii="Times New Roman" w:eastAsia="Times New Roman" w:hAnsi="Times New Roman" w:cs="Times New Roman"/>
                <w:i/>
                <w:sz w:val="24"/>
                <w:szCs w:val="24"/>
                <w:lang w:eastAsia="lv-LV"/>
              </w:rPr>
              <w:t>euro</w:t>
            </w:r>
            <w:proofErr w:type="spellEnd"/>
            <w:r w:rsidRPr="00E86305">
              <w:rPr>
                <w:rFonts w:ascii="Times New Roman" w:eastAsia="Times New Roman" w:hAnsi="Times New Roman" w:cs="Times New Roman"/>
                <w:sz w:val="24"/>
                <w:szCs w:val="24"/>
                <w:lang w:eastAsia="lv-LV"/>
              </w:rPr>
              <w:t xml:space="preserve"> un tajā ir nodarbinātas mazāk nekā 250 personas, uzņēmums var pretendēt uz atbalstu.</w:t>
            </w:r>
          </w:p>
          <w:p w14:paraId="7A3B269A" w14:textId="77777777" w:rsidR="00E86305" w:rsidRPr="00E86305" w:rsidRDefault="00E86305" w:rsidP="00E86305">
            <w:pPr>
              <w:spacing w:line="276" w:lineRule="auto"/>
              <w:contextualSpacing/>
              <w:jc w:val="both"/>
              <w:rPr>
                <w:rFonts w:ascii="Times New Roman" w:eastAsia="Times New Roman" w:hAnsi="Times New Roman" w:cs="Times New Roman"/>
                <w:sz w:val="24"/>
                <w:szCs w:val="24"/>
                <w:lang w:eastAsia="lv-LV"/>
              </w:rPr>
            </w:pPr>
            <w:r w:rsidRPr="00E86305">
              <w:rPr>
                <w:rFonts w:ascii="Times New Roman" w:eastAsia="Times New Roman" w:hAnsi="Times New Roman" w:cs="Times New Roman"/>
                <w:sz w:val="24"/>
                <w:szCs w:val="24"/>
                <w:lang w:eastAsia="lv-LV"/>
              </w:rPr>
              <w:t>Iespējas saņemt finansējumu ir visiem projektu iesniegumiem, kas atbilst vērtēšanas kritērijiem. Gadījumā, ja projektu iesniegumos pieprasītais finansējums ir lielāks nekā atlasē pieejamais, atbalsts prioritāri tiek piešķirts projektu iesniegumiem ar augstāko vērtēšanā saņemto punktu skaitu. Tā kā šī ir atklāta projektu iesniegumu atlase, nevaram prognozēt, cik un kāda apjoma projektu iesniegumi tiks iesniegti, tai skaitā vai tie būs atbilstoši vērtēšanas kritērijiem, tomēr kopumā par 3.1.1.3. pasākumā pieejamo Eiropas Reģionālās attīstības fonda (ERAF) finansējumu reizi ceturksnī tiks izsludinātas jaunas atlases kārtas, līdz būs izsmelts viss finansējums, tātad, startējot pirmajā atlases kārtā, izredzes saņemt atbalstu ir lielākas, jo tajā ir pieejams maksimālais pasākuma finansējums.</w:t>
            </w:r>
          </w:p>
          <w:p w14:paraId="4A44D1AA" w14:textId="77777777" w:rsidR="00E86305" w:rsidRPr="00E86305" w:rsidRDefault="00E86305" w:rsidP="00E86305">
            <w:pPr>
              <w:spacing w:line="276" w:lineRule="auto"/>
              <w:contextualSpacing/>
              <w:jc w:val="both"/>
              <w:rPr>
                <w:rFonts w:ascii="Times New Roman" w:eastAsia="Times New Roman" w:hAnsi="Times New Roman" w:cs="Times New Roman"/>
                <w:sz w:val="24"/>
                <w:szCs w:val="24"/>
                <w:lang w:eastAsia="lv-LV"/>
              </w:rPr>
            </w:pPr>
          </w:p>
          <w:p w14:paraId="4D2C3A01" w14:textId="77777777" w:rsidR="00E86305" w:rsidRPr="00E86305" w:rsidRDefault="00E86305" w:rsidP="00E86305">
            <w:pPr>
              <w:spacing w:line="276" w:lineRule="auto"/>
              <w:contextualSpacing/>
              <w:jc w:val="both"/>
              <w:rPr>
                <w:rFonts w:ascii="Times New Roman" w:eastAsia="Times New Roman" w:hAnsi="Times New Roman" w:cs="Times New Roman"/>
                <w:sz w:val="24"/>
                <w:szCs w:val="24"/>
                <w:lang w:eastAsia="lv-LV"/>
              </w:rPr>
            </w:pPr>
            <w:r w:rsidRPr="00E86305">
              <w:rPr>
                <w:rFonts w:ascii="Times New Roman" w:eastAsia="Times New Roman" w:hAnsi="Times New Roman" w:cs="Times New Roman"/>
                <w:sz w:val="24"/>
                <w:szCs w:val="24"/>
                <w:lang w:eastAsia="lv-LV"/>
              </w:rPr>
              <w:t>Citi nosacījumi, kam svarīgi pievērst uzmanību:</w:t>
            </w:r>
          </w:p>
          <w:p w14:paraId="34BA0AA3" w14:textId="77777777" w:rsidR="00E86305" w:rsidRPr="00E86305" w:rsidRDefault="00E86305" w:rsidP="00E86305">
            <w:pPr>
              <w:spacing w:line="276" w:lineRule="auto"/>
              <w:contextualSpacing/>
              <w:jc w:val="both"/>
              <w:rPr>
                <w:rFonts w:ascii="Times New Roman" w:eastAsia="Times New Roman" w:hAnsi="Times New Roman" w:cs="Times New Roman"/>
                <w:sz w:val="24"/>
                <w:szCs w:val="24"/>
                <w:lang w:eastAsia="lv-LV"/>
              </w:rPr>
            </w:pPr>
            <w:r w:rsidRPr="00E86305">
              <w:rPr>
                <w:rFonts w:ascii="Times New Roman" w:eastAsia="Times New Roman" w:hAnsi="Times New Roman" w:cs="Times New Roman"/>
                <w:sz w:val="24"/>
                <w:szCs w:val="24"/>
                <w:lang w:eastAsia="lv-LV"/>
              </w:rPr>
              <w:t>-</w:t>
            </w:r>
            <w:r w:rsidRPr="00E86305">
              <w:rPr>
                <w:rFonts w:ascii="Times New Roman" w:eastAsia="Times New Roman" w:hAnsi="Times New Roman" w:cs="Times New Roman"/>
                <w:sz w:val="24"/>
                <w:szCs w:val="24"/>
                <w:lang w:eastAsia="lv-LV"/>
              </w:rPr>
              <w:tab/>
              <w:t>projekta iesniedzējs nedrīkst atbilst grūtībās nonākuša uzņēmuma statusam,</w:t>
            </w:r>
          </w:p>
          <w:p w14:paraId="6036D39F" w14:textId="77777777" w:rsidR="00E86305" w:rsidRPr="00E86305" w:rsidRDefault="00E86305" w:rsidP="00E86305">
            <w:pPr>
              <w:spacing w:line="276" w:lineRule="auto"/>
              <w:contextualSpacing/>
              <w:jc w:val="both"/>
              <w:rPr>
                <w:rFonts w:ascii="Times New Roman" w:eastAsia="Times New Roman" w:hAnsi="Times New Roman" w:cs="Times New Roman"/>
                <w:sz w:val="24"/>
                <w:szCs w:val="24"/>
                <w:lang w:eastAsia="lv-LV"/>
              </w:rPr>
            </w:pPr>
            <w:r w:rsidRPr="00E86305">
              <w:rPr>
                <w:rFonts w:ascii="Times New Roman" w:eastAsia="Times New Roman" w:hAnsi="Times New Roman" w:cs="Times New Roman"/>
                <w:sz w:val="24"/>
                <w:szCs w:val="24"/>
                <w:lang w:eastAsia="lv-LV"/>
              </w:rPr>
              <w:t>-</w:t>
            </w:r>
            <w:r w:rsidRPr="00E86305">
              <w:rPr>
                <w:rFonts w:ascii="Times New Roman" w:eastAsia="Times New Roman" w:hAnsi="Times New Roman" w:cs="Times New Roman"/>
                <w:sz w:val="24"/>
                <w:szCs w:val="24"/>
                <w:lang w:eastAsia="lv-LV"/>
              </w:rPr>
              <w:tab/>
              <w:t>projektam uz iesniegšanas brīdi jāatbilst vismaz vidējai gatavības pakāpei – jābūt apzinātiem iespējamajiem pakalpojumu sniedzējiem attiecībā uz visām projektā paredzētajām izmaksām un projekta iesniegumam jāpievieno atbilstoša dokumentācija,</w:t>
            </w:r>
          </w:p>
          <w:p w14:paraId="326174BF" w14:textId="77777777" w:rsidR="00E86305" w:rsidRPr="00E86305" w:rsidRDefault="00E86305" w:rsidP="00E86305">
            <w:pPr>
              <w:spacing w:line="276" w:lineRule="auto"/>
              <w:contextualSpacing/>
              <w:jc w:val="both"/>
              <w:rPr>
                <w:rFonts w:ascii="Times New Roman" w:eastAsia="Times New Roman" w:hAnsi="Times New Roman" w:cs="Times New Roman"/>
                <w:sz w:val="24"/>
                <w:szCs w:val="24"/>
                <w:lang w:eastAsia="lv-LV"/>
              </w:rPr>
            </w:pPr>
            <w:r w:rsidRPr="00E86305">
              <w:rPr>
                <w:rFonts w:ascii="Times New Roman" w:eastAsia="Times New Roman" w:hAnsi="Times New Roman" w:cs="Times New Roman"/>
                <w:sz w:val="24"/>
                <w:szCs w:val="24"/>
                <w:lang w:eastAsia="lv-LV"/>
              </w:rPr>
              <w:t>-</w:t>
            </w:r>
            <w:r w:rsidRPr="00E86305">
              <w:rPr>
                <w:rFonts w:ascii="Times New Roman" w:eastAsia="Times New Roman" w:hAnsi="Times New Roman" w:cs="Times New Roman"/>
                <w:sz w:val="24"/>
                <w:szCs w:val="24"/>
                <w:lang w:eastAsia="lv-LV"/>
              </w:rPr>
              <w:tab/>
              <w:t xml:space="preserve">šajā atbalsta programmā būtiska nianse ir tā, ka ERAF finansējums tiek izmaksāts tikai pēc sekmīgi pabeigta projekta (kad akcijas vai obligācijas ir iekļautas tirdzniecības vietā), līdz ar to uzņēmumam jāizvērtē, vai un no kādiem resursiem projektu varēs </w:t>
            </w:r>
            <w:proofErr w:type="spellStart"/>
            <w:r w:rsidRPr="00E86305">
              <w:rPr>
                <w:rFonts w:ascii="Times New Roman" w:eastAsia="Times New Roman" w:hAnsi="Times New Roman" w:cs="Times New Roman"/>
                <w:sz w:val="24"/>
                <w:szCs w:val="24"/>
                <w:lang w:eastAsia="lv-LV"/>
              </w:rPr>
              <w:t>priekšfinansēt</w:t>
            </w:r>
            <w:proofErr w:type="spellEnd"/>
            <w:r w:rsidRPr="00E86305">
              <w:rPr>
                <w:rFonts w:ascii="Times New Roman" w:eastAsia="Times New Roman" w:hAnsi="Times New Roman" w:cs="Times New Roman"/>
                <w:sz w:val="24"/>
                <w:szCs w:val="24"/>
                <w:lang w:eastAsia="lv-LV"/>
              </w:rPr>
              <w:t>, t.sk. projekta iesniegumam jāpievieno atbilstoša dokumentācija.</w:t>
            </w:r>
          </w:p>
          <w:p w14:paraId="5FC89222" w14:textId="77777777" w:rsidR="00E86305" w:rsidRPr="00E86305" w:rsidRDefault="00E86305" w:rsidP="00E86305">
            <w:pPr>
              <w:spacing w:line="276" w:lineRule="auto"/>
              <w:contextualSpacing/>
              <w:jc w:val="both"/>
              <w:rPr>
                <w:rFonts w:ascii="Times New Roman" w:eastAsia="Times New Roman" w:hAnsi="Times New Roman" w:cs="Times New Roman"/>
                <w:sz w:val="24"/>
                <w:szCs w:val="24"/>
                <w:lang w:eastAsia="lv-LV"/>
              </w:rPr>
            </w:pPr>
          </w:p>
          <w:p w14:paraId="4B8AD3B8" w14:textId="3E81447F" w:rsidR="00E86305" w:rsidRDefault="00E86305" w:rsidP="00E86305">
            <w:pPr>
              <w:spacing w:line="276" w:lineRule="auto"/>
              <w:contextualSpacing/>
              <w:jc w:val="both"/>
              <w:rPr>
                <w:rFonts w:ascii="Times New Roman" w:eastAsia="Times New Roman" w:hAnsi="Times New Roman" w:cs="Times New Roman"/>
                <w:sz w:val="24"/>
                <w:szCs w:val="24"/>
                <w:lang w:eastAsia="lv-LV"/>
              </w:rPr>
            </w:pPr>
            <w:r w:rsidRPr="00E86305">
              <w:rPr>
                <w:rFonts w:ascii="Times New Roman" w:eastAsia="Times New Roman" w:hAnsi="Times New Roman" w:cs="Times New Roman"/>
                <w:sz w:val="24"/>
                <w:szCs w:val="24"/>
                <w:lang w:eastAsia="lv-LV"/>
              </w:rPr>
              <w:t xml:space="preserve">Projektu iesniegumus 3.1.1.3. pasākuma pirmajā atlases kārtā var iesniegt līdz 2020.gada 5.septembrim. Ar visiem nosacījumiem varat iepazīties projektu iesniegumu atlases nolikumā un tā pielikumos, kā arī informatīvajos materiālos, kas pieejami tīmekļvietnē </w:t>
            </w:r>
            <w:hyperlink r:id="rId11" w:history="1">
              <w:r w:rsidRPr="00D9454B">
                <w:rPr>
                  <w:rStyle w:val="Hyperlink"/>
                  <w:rFonts w:ascii="Times New Roman" w:eastAsia="Times New Roman" w:hAnsi="Times New Roman" w:cs="Times New Roman"/>
                  <w:sz w:val="24"/>
                  <w:szCs w:val="24"/>
                  <w:lang w:eastAsia="lv-LV"/>
                </w:rPr>
                <w:t>https://cfla.gov.lv/lv/es-fondi-2014-2020/izsludinatas-atlases/3-1-1-3-k-1</w:t>
              </w:r>
            </w:hyperlink>
            <w:r>
              <w:rPr>
                <w:rFonts w:ascii="Times New Roman" w:eastAsia="Times New Roman" w:hAnsi="Times New Roman" w:cs="Times New Roman"/>
                <w:sz w:val="24"/>
                <w:szCs w:val="24"/>
                <w:lang w:eastAsia="lv-LV"/>
              </w:rPr>
              <w:t>.</w:t>
            </w:r>
          </w:p>
        </w:tc>
      </w:tr>
      <w:tr w:rsidR="00C13B6A" w:rsidRPr="00AF2308" w14:paraId="4BEEA676" w14:textId="77777777" w:rsidTr="00EF28FC">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29BD76" w14:textId="77777777" w:rsidR="00C13B6A" w:rsidRPr="00C13B6A" w:rsidRDefault="00C13B6A" w:rsidP="00C13B6A">
            <w:pPr>
              <w:spacing w:line="276" w:lineRule="auto"/>
              <w:contextualSpacing/>
              <w:jc w:val="both"/>
              <w:rPr>
                <w:rFonts w:ascii="Times New Roman" w:eastAsia="Times New Roman" w:hAnsi="Times New Roman" w:cs="Times New Roman"/>
                <w:sz w:val="24"/>
                <w:szCs w:val="24"/>
                <w:lang w:eastAsia="lv-LV"/>
              </w:rPr>
            </w:pPr>
            <w:r w:rsidRPr="00C13B6A">
              <w:rPr>
                <w:rFonts w:ascii="Times New Roman" w:eastAsia="Times New Roman" w:hAnsi="Times New Roman" w:cs="Times New Roman"/>
                <w:sz w:val="24"/>
                <w:szCs w:val="24"/>
                <w:lang w:eastAsia="lv-LV"/>
              </w:rPr>
              <w:t>5.jautājums:</w:t>
            </w:r>
          </w:p>
          <w:p w14:paraId="3151B3E9" w14:textId="77777777" w:rsidR="00C13B6A" w:rsidRPr="00C13B6A" w:rsidRDefault="00C13B6A" w:rsidP="00C13B6A">
            <w:pPr>
              <w:spacing w:line="276" w:lineRule="auto"/>
              <w:contextualSpacing/>
              <w:jc w:val="both"/>
              <w:rPr>
                <w:rFonts w:ascii="Times New Roman" w:eastAsia="Times New Roman" w:hAnsi="Times New Roman" w:cs="Times New Roman"/>
                <w:sz w:val="24"/>
                <w:szCs w:val="24"/>
                <w:lang w:eastAsia="lv-LV"/>
              </w:rPr>
            </w:pPr>
          </w:p>
          <w:p w14:paraId="441E5E05" w14:textId="6D3528F3" w:rsidR="00C13B6A" w:rsidRPr="00C13B6A" w:rsidRDefault="00C13B6A" w:rsidP="00C13B6A">
            <w:pPr>
              <w:spacing w:line="276" w:lineRule="auto"/>
              <w:jc w:val="both"/>
              <w:rPr>
                <w:rFonts w:ascii="Times New Roman" w:eastAsia="Calibri" w:hAnsi="Times New Roman" w:cs="Times New Roman"/>
                <w:sz w:val="24"/>
                <w:szCs w:val="24"/>
                <w:lang w:eastAsia="lv-LV"/>
              </w:rPr>
            </w:pPr>
            <w:r w:rsidRPr="00C13B6A">
              <w:rPr>
                <w:rFonts w:ascii="Times New Roman" w:eastAsia="Calibri" w:hAnsi="Times New Roman" w:cs="Times New Roman"/>
                <w:sz w:val="24"/>
                <w:szCs w:val="24"/>
                <w:lang w:eastAsia="lv-LV"/>
              </w:rPr>
              <w:t>Šobrīd aktīvi strādājam, lai savus digitālā mārketinga pakalpojumus nodrošinātu divos ārvalstu tirgos, atverot tur pārstāvniecības. Tam nepieciešamas diezgan pamatīgas investīcijas, ko jau esam sākuši realizēt.</w:t>
            </w:r>
          </w:p>
          <w:p w14:paraId="5C09CBCB" w14:textId="77777777" w:rsidR="00C13B6A" w:rsidRPr="00C13B6A" w:rsidRDefault="00C13B6A" w:rsidP="00C13B6A">
            <w:pPr>
              <w:spacing w:line="276" w:lineRule="auto"/>
              <w:jc w:val="both"/>
              <w:rPr>
                <w:rFonts w:ascii="Times New Roman" w:eastAsia="Calibri" w:hAnsi="Times New Roman" w:cs="Times New Roman"/>
                <w:sz w:val="24"/>
                <w:szCs w:val="24"/>
                <w:lang w:eastAsia="lv-LV"/>
              </w:rPr>
            </w:pPr>
          </w:p>
          <w:p w14:paraId="28512469" w14:textId="2B70E2F9" w:rsidR="00C13B6A" w:rsidRPr="00C13B6A" w:rsidRDefault="00C13B6A" w:rsidP="00C13B6A">
            <w:pPr>
              <w:spacing w:line="276" w:lineRule="auto"/>
              <w:jc w:val="both"/>
              <w:rPr>
                <w:rFonts w:ascii="Times New Roman" w:eastAsia="Calibri" w:hAnsi="Times New Roman" w:cs="Times New Roman"/>
                <w:sz w:val="24"/>
                <w:szCs w:val="24"/>
                <w:lang w:eastAsia="lv-LV"/>
              </w:rPr>
            </w:pPr>
            <w:r w:rsidRPr="00C13B6A">
              <w:rPr>
                <w:rFonts w:ascii="Times New Roman" w:eastAsia="Calibri" w:hAnsi="Times New Roman" w:cs="Times New Roman"/>
                <w:sz w:val="24"/>
                <w:szCs w:val="24"/>
                <w:lang w:eastAsia="lv-LV"/>
              </w:rPr>
              <w:t>Sakiet, lūdzu, ko nozīme akcijas MVU kontekstā? Vai es pareizi sapratu, ka tas darbojas līdzīgi, kā lieliem uzņēmumiem un kāds pirks mana uzņēmuma daļas? Cik daudz? Kurš noteiks vērtību? Kurā biržā kotēsies akcijas? </w:t>
            </w:r>
          </w:p>
        </w:tc>
      </w:tr>
      <w:tr w:rsidR="00C13B6A" w:rsidRPr="00AF2308" w14:paraId="27638127" w14:textId="77777777" w:rsidTr="00E86305">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0DC54" w14:textId="77777777" w:rsidR="00C13B6A" w:rsidRDefault="00C13B6A" w:rsidP="00C13B6A">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5.jautājumu:</w:t>
            </w:r>
          </w:p>
          <w:p w14:paraId="79F80B34" w14:textId="77777777" w:rsidR="00C13B6A" w:rsidRDefault="00C13B6A" w:rsidP="00C13B6A">
            <w:pPr>
              <w:spacing w:line="276" w:lineRule="auto"/>
              <w:contextualSpacing/>
              <w:jc w:val="both"/>
              <w:rPr>
                <w:rFonts w:ascii="Times New Roman" w:eastAsia="Times New Roman" w:hAnsi="Times New Roman" w:cs="Times New Roman"/>
                <w:sz w:val="24"/>
                <w:szCs w:val="24"/>
                <w:lang w:eastAsia="lv-LV"/>
              </w:rPr>
            </w:pPr>
          </w:p>
          <w:p w14:paraId="320B28C1" w14:textId="77777777" w:rsidR="00C13B6A" w:rsidRPr="00EF28FC" w:rsidRDefault="00C13B6A" w:rsidP="00C13B6A">
            <w:pPr>
              <w:spacing w:line="276" w:lineRule="auto"/>
              <w:jc w:val="both"/>
              <w:rPr>
                <w:rFonts w:ascii="Times New Roman" w:eastAsia="Calibri" w:hAnsi="Times New Roman" w:cs="Times New Roman"/>
                <w:sz w:val="24"/>
                <w:szCs w:val="24"/>
              </w:rPr>
            </w:pPr>
            <w:r w:rsidRPr="00EF28FC">
              <w:rPr>
                <w:rFonts w:ascii="Times New Roman" w:eastAsia="Calibri" w:hAnsi="Times New Roman" w:cs="Times New Roman"/>
                <w:sz w:val="24"/>
                <w:szCs w:val="24"/>
              </w:rPr>
              <w:lastRenderedPageBreak/>
              <w:t xml:space="preserve">Akcijas ir uzņēmuma daļas pamatkapitālā, kuras emitējot un pārdodot uzņēmumā ienāk jauni līdzīpašnieki. MVU tas notiek tieši tāpat kā lielajos uzņēmumos. Pamata informāciju par kapitāla piesaisti caur biržu šeit: </w:t>
            </w:r>
            <w:hyperlink r:id="rId12" w:history="1">
              <w:r w:rsidRPr="00EF28FC">
                <w:rPr>
                  <w:rFonts w:ascii="Times New Roman" w:eastAsia="Calibri" w:hAnsi="Times New Roman" w:cs="Times New Roman"/>
                  <w:color w:val="0000FF"/>
                  <w:sz w:val="24"/>
                  <w:szCs w:val="24"/>
                  <w:u w:val="single"/>
                </w:rPr>
                <w:t>https://nasdaqbaltic.com/lv/nac-uz-birzu/piesaisti-kapitalu/</w:t>
              </w:r>
            </w:hyperlink>
            <w:r w:rsidRPr="00EF28FC">
              <w:rPr>
                <w:rFonts w:ascii="Times New Roman" w:eastAsia="Calibri" w:hAnsi="Times New Roman" w:cs="Times New Roman"/>
                <w:sz w:val="24"/>
                <w:szCs w:val="24"/>
              </w:rPr>
              <w:t xml:space="preserve">. Lai novērtētu uzņēmuma potenciālu piesaistīt kapitālu emitējot akcijas (vai obligācijas) ir jāsazinās ar investīciju banku/konsultantu, kurš novērtēs uzņēmuma finanšu situāciju, biznesa plānu, nozari, kā arī sniegs sākotnējo viedokli par potenciālo investoru interesi. Konsultantu saraksts ir pieejams šeit: </w:t>
            </w:r>
            <w:hyperlink r:id="rId13" w:history="1">
              <w:r w:rsidRPr="00EF28FC">
                <w:rPr>
                  <w:rFonts w:ascii="Times New Roman" w:eastAsia="Calibri" w:hAnsi="Times New Roman" w:cs="Times New Roman"/>
                  <w:color w:val="0000FF"/>
                  <w:sz w:val="24"/>
                  <w:szCs w:val="24"/>
                  <w:u w:val="single"/>
                </w:rPr>
                <w:t>https://nasdaqbaltic.com/lv/nac-uz-birzu/sertificeto-konsultantu-saraksts/</w:t>
              </w:r>
            </w:hyperlink>
            <w:r w:rsidRPr="00EF28FC">
              <w:rPr>
                <w:rFonts w:ascii="Times New Roman" w:eastAsia="Calibri" w:hAnsi="Times New Roman" w:cs="Times New Roman"/>
                <w:sz w:val="24"/>
                <w:szCs w:val="24"/>
              </w:rPr>
              <w:t xml:space="preserve">. Finansējums paredzēts akciju vai obligāciju emisiju organizēšanai un kotācijai </w:t>
            </w:r>
            <w:proofErr w:type="spellStart"/>
            <w:r w:rsidRPr="00EF28FC">
              <w:rPr>
                <w:rFonts w:ascii="Times New Roman" w:eastAsia="Calibri" w:hAnsi="Times New Roman" w:cs="Times New Roman"/>
                <w:sz w:val="24"/>
                <w:szCs w:val="24"/>
              </w:rPr>
              <w:t>Nasdaq</w:t>
            </w:r>
            <w:proofErr w:type="spellEnd"/>
            <w:r w:rsidRPr="00EF28FC">
              <w:rPr>
                <w:rFonts w:ascii="Times New Roman" w:eastAsia="Calibri" w:hAnsi="Times New Roman" w:cs="Times New Roman"/>
                <w:sz w:val="24"/>
                <w:szCs w:val="24"/>
              </w:rPr>
              <w:t xml:space="preserve"> </w:t>
            </w:r>
            <w:proofErr w:type="spellStart"/>
            <w:r w:rsidRPr="00EF28FC">
              <w:rPr>
                <w:rFonts w:ascii="Times New Roman" w:eastAsia="Calibri" w:hAnsi="Times New Roman" w:cs="Times New Roman"/>
                <w:sz w:val="24"/>
                <w:szCs w:val="24"/>
              </w:rPr>
              <w:t>Riga</w:t>
            </w:r>
            <w:proofErr w:type="spellEnd"/>
            <w:r w:rsidRPr="00EF28FC">
              <w:rPr>
                <w:rFonts w:ascii="Times New Roman" w:eastAsia="Calibri" w:hAnsi="Times New Roman" w:cs="Times New Roman"/>
                <w:sz w:val="24"/>
                <w:szCs w:val="24"/>
              </w:rPr>
              <w:t xml:space="preserve"> biržā – Baltijas Regulētajā tirgū vai Baltijas Alternatīvajā tirgū </w:t>
            </w:r>
            <w:r w:rsidRPr="00EF28FC">
              <w:rPr>
                <w:rFonts w:ascii="Times New Roman" w:eastAsia="Calibri" w:hAnsi="Times New Roman" w:cs="Times New Roman"/>
                <w:i/>
                <w:iCs/>
                <w:sz w:val="24"/>
                <w:szCs w:val="24"/>
              </w:rPr>
              <w:t>First North.</w:t>
            </w:r>
          </w:p>
          <w:p w14:paraId="71273825" w14:textId="77777777" w:rsidR="00C13B6A" w:rsidRPr="00EF28FC" w:rsidRDefault="00C13B6A" w:rsidP="00C13B6A">
            <w:pPr>
              <w:spacing w:line="276" w:lineRule="auto"/>
              <w:jc w:val="both"/>
              <w:rPr>
                <w:rFonts w:ascii="Times New Roman" w:eastAsia="Calibri" w:hAnsi="Times New Roman" w:cs="Times New Roman"/>
                <w:sz w:val="24"/>
                <w:szCs w:val="24"/>
              </w:rPr>
            </w:pPr>
          </w:p>
          <w:p w14:paraId="47F89B1D" w14:textId="4FBA90D7" w:rsidR="00C13B6A" w:rsidRPr="00C13B6A" w:rsidRDefault="00C13B6A" w:rsidP="00C13B6A">
            <w:pPr>
              <w:spacing w:line="276" w:lineRule="auto"/>
              <w:jc w:val="both"/>
              <w:rPr>
                <w:rFonts w:ascii="Calibri" w:eastAsia="Calibri" w:hAnsi="Calibri" w:cs="Calibri"/>
                <w:lang w:val="en-US"/>
              </w:rPr>
            </w:pPr>
            <w:r w:rsidRPr="00EF28FC">
              <w:rPr>
                <w:rFonts w:ascii="Times New Roman" w:eastAsia="Calibri" w:hAnsi="Times New Roman" w:cs="Times New Roman"/>
                <w:sz w:val="24"/>
                <w:szCs w:val="24"/>
              </w:rPr>
              <w:t xml:space="preserve">Detalizētāku informāciju par šiem jautājumiem varat saņemt </w:t>
            </w:r>
            <w:proofErr w:type="spellStart"/>
            <w:r w:rsidRPr="00EF28FC">
              <w:rPr>
                <w:rFonts w:ascii="Times New Roman" w:eastAsia="Calibri" w:hAnsi="Times New Roman" w:cs="Times New Roman"/>
                <w:sz w:val="24"/>
                <w:szCs w:val="24"/>
              </w:rPr>
              <w:t>Nasdaq</w:t>
            </w:r>
            <w:proofErr w:type="spellEnd"/>
            <w:r w:rsidRPr="00EF28FC">
              <w:rPr>
                <w:rFonts w:ascii="Times New Roman" w:eastAsia="Calibri" w:hAnsi="Times New Roman" w:cs="Times New Roman"/>
                <w:sz w:val="24"/>
                <w:szCs w:val="24"/>
              </w:rPr>
              <w:t xml:space="preserve"> </w:t>
            </w:r>
            <w:proofErr w:type="spellStart"/>
            <w:r w:rsidRPr="00EF28FC">
              <w:rPr>
                <w:rFonts w:ascii="Times New Roman" w:eastAsia="Calibri" w:hAnsi="Times New Roman" w:cs="Times New Roman"/>
                <w:sz w:val="24"/>
                <w:szCs w:val="24"/>
              </w:rPr>
              <w:t>Riga</w:t>
            </w:r>
            <w:proofErr w:type="spellEnd"/>
            <w:r w:rsidRPr="00EF28FC">
              <w:rPr>
                <w:rFonts w:ascii="Times New Roman" w:eastAsia="Calibri" w:hAnsi="Times New Roman" w:cs="Times New Roman"/>
                <w:sz w:val="24"/>
                <w:szCs w:val="24"/>
              </w:rPr>
              <w:t xml:space="preserve">. Turklāt vēršu uzmanību, ka saskaņā ar atlases nosacījumiem konsultācija ar </w:t>
            </w:r>
            <w:proofErr w:type="spellStart"/>
            <w:r w:rsidRPr="00EF28FC">
              <w:rPr>
                <w:rFonts w:ascii="Times New Roman" w:eastAsia="Calibri" w:hAnsi="Times New Roman" w:cs="Times New Roman"/>
                <w:sz w:val="24"/>
                <w:szCs w:val="24"/>
              </w:rPr>
              <w:t>Nasdaq</w:t>
            </w:r>
            <w:proofErr w:type="spellEnd"/>
            <w:r w:rsidRPr="00EF28FC">
              <w:rPr>
                <w:rFonts w:ascii="Times New Roman" w:eastAsia="Calibri" w:hAnsi="Times New Roman" w:cs="Times New Roman"/>
                <w:sz w:val="24"/>
                <w:szCs w:val="24"/>
              </w:rPr>
              <w:t xml:space="preserve"> </w:t>
            </w:r>
            <w:proofErr w:type="spellStart"/>
            <w:r w:rsidRPr="00EF28FC">
              <w:rPr>
                <w:rFonts w:ascii="Times New Roman" w:eastAsia="Calibri" w:hAnsi="Times New Roman" w:cs="Times New Roman"/>
                <w:sz w:val="24"/>
                <w:szCs w:val="24"/>
              </w:rPr>
              <w:t>Riga</w:t>
            </w:r>
            <w:proofErr w:type="spellEnd"/>
            <w:r w:rsidRPr="00EF28FC">
              <w:rPr>
                <w:rFonts w:ascii="Times New Roman" w:eastAsia="Calibri" w:hAnsi="Times New Roman" w:cs="Times New Roman"/>
                <w:sz w:val="24"/>
                <w:szCs w:val="24"/>
              </w:rPr>
              <w:t xml:space="preserve"> ir obligāta  (atbilstoši </w:t>
            </w:r>
            <w:hyperlink r:id="rId14" w:history="1">
              <w:r w:rsidRPr="00EF28FC">
                <w:rPr>
                  <w:rFonts w:ascii="Times New Roman" w:eastAsia="Calibri" w:hAnsi="Times New Roman" w:cs="Times New Roman"/>
                  <w:sz w:val="24"/>
                  <w:szCs w:val="24"/>
                </w:rPr>
                <w:t>projektu iesniegumu atlases nolikuma</w:t>
              </w:r>
            </w:hyperlink>
            <w:r w:rsidRPr="00EF28FC">
              <w:rPr>
                <w:rFonts w:ascii="Times New Roman" w:eastAsia="Calibri" w:hAnsi="Times New Roman" w:cs="Times New Roman"/>
                <w:sz w:val="24"/>
                <w:szCs w:val="24"/>
              </w:rPr>
              <w:t xml:space="preserve"> 11.6. apakšpunktam projekta iesniegumam jāpievieno Tirdzniecības vietas apliecinājums par notikušu konsultāciju ar Tirdzniecības vietu un par projekta iesniedzēja atbilstību Tirdzniecības vietas prasībām).</w:t>
            </w:r>
          </w:p>
        </w:tc>
      </w:tr>
      <w:tr w:rsidR="00B4640E" w:rsidRPr="00AF2308" w14:paraId="236C6D27" w14:textId="77777777" w:rsidTr="004D0554">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34E781" w14:textId="77777777" w:rsidR="004D0554" w:rsidRDefault="004D0554" w:rsidP="00B4640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6.jautājums:</w:t>
            </w:r>
          </w:p>
          <w:p w14:paraId="79FC386F" w14:textId="77777777" w:rsidR="004D0554" w:rsidRDefault="004D0554" w:rsidP="00B4640E">
            <w:pPr>
              <w:spacing w:line="276" w:lineRule="auto"/>
              <w:contextualSpacing/>
              <w:jc w:val="both"/>
              <w:rPr>
                <w:rFonts w:ascii="Times New Roman" w:eastAsia="Times New Roman" w:hAnsi="Times New Roman" w:cs="Times New Roman"/>
                <w:sz w:val="24"/>
                <w:szCs w:val="24"/>
                <w:lang w:eastAsia="lv-LV"/>
              </w:rPr>
            </w:pPr>
          </w:p>
          <w:p w14:paraId="0F50A23B" w14:textId="3DC9E868" w:rsidR="00B4640E" w:rsidRDefault="00B4640E" w:rsidP="00B4640E">
            <w:pPr>
              <w:spacing w:line="276" w:lineRule="auto"/>
              <w:contextualSpacing/>
              <w:jc w:val="both"/>
              <w:rPr>
                <w:rFonts w:ascii="Times New Roman" w:eastAsia="Times New Roman" w:hAnsi="Times New Roman" w:cs="Times New Roman"/>
                <w:sz w:val="24"/>
                <w:szCs w:val="24"/>
                <w:lang w:eastAsia="lv-LV"/>
              </w:rPr>
            </w:pPr>
            <w:r w:rsidRPr="00B4640E">
              <w:rPr>
                <w:rFonts w:ascii="Times New Roman" w:eastAsia="Times New Roman" w:hAnsi="Times New Roman" w:cs="Times New Roman"/>
                <w:sz w:val="24"/>
                <w:szCs w:val="24"/>
                <w:lang w:eastAsia="lv-LV"/>
              </w:rPr>
              <w:t>Vai</w:t>
            </w:r>
            <w:r w:rsidR="004D0554">
              <w:rPr>
                <w:rFonts w:ascii="Times New Roman" w:eastAsia="Times New Roman" w:hAnsi="Times New Roman" w:cs="Times New Roman"/>
                <w:sz w:val="24"/>
                <w:szCs w:val="24"/>
                <w:lang w:eastAsia="lv-LV"/>
              </w:rPr>
              <w:t xml:space="preserve"> es</w:t>
            </w:r>
            <w:r w:rsidRPr="00B4640E">
              <w:rPr>
                <w:rFonts w:ascii="Times New Roman" w:eastAsia="Times New Roman" w:hAnsi="Times New Roman" w:cs="Times New Roman"/>
                <w:sz w:val="24"/>
                <w:szCs w:val="24"/>
                <w:lang w:eastAsia="lv-LV"/>
              </w:rPr>
              <w:t xml:space="preserve"> pareizi sapr</w:t>
            </w:r>
            <w:r w:rsidR="004D0554">
              <w:rPr>
                <w:rFonts w:ascii="Times New Roman" w:eastAsia="Times New Roman" w:hAnsi="Times New Roman" w:cs="Times New Roman"/>
                <w:sz w:val="24"/>
                <w:szCs w:val="24"/>
                <w:lang w:eastAsia="lv-LV"/>
              </w:rPr>
              <w:t>otu</w:t>
            </w:r>
            <w:r w:rsidRPr="00B4640E">
              <w:rPr>
                <w:rFonts w:ascii="Times New Roman" w:eastAsia="Times New Roman" w:hAnsi="Times New Roman" w:cs="Times New Roman"/>
                <w:sz w:val="24"/>
                <w:szCs w:val="24"/>
                <w:lang w:eastAsia="lv-LV"/>
              </w:rPr>
              <w:t>, k</w:t>
            </w:r>
            <w:r w:rsidR="004D0554">
              <w:rPr>
                <w:rFonts w:ascii="Times New Roman" w:eastAsia="Times New Roman" w:hAnsi="Times New Roman" w:cs="Times New Roman"/>
                <w:sz w:val="24"/>
                <w:szCs w:val="24"/>
                <w:lang w:eastAsia="lv-LV"/>
              </w:rPr>
              <w:t>a</w:t>
            </w:r>
            <w:r w:rsidRPr="00B4640E">
              <w:rPr>
                <w:rFonts w:ascii="Times New Roman" w:eastAsia="Times New Roman" w:hAnsi="Times New Roman" w:cs="Times New Roman"/>
                <w:sz w:val="24"/>
                <w:szCs w:val="24"/>
                <w:lang w:eastAsia="lv-LV"/>
              </w:rPr>
              <w:t xml:space="preserve"> pirms aizpildīt dokumentus uz finansējumu man sākumā jāsaņem konsultācija no biržas</w:t>
            </w:r>
            <w:r w:rsidR="004D0554">
              <w:rPr>
                <w:rFonts w:ascii="Times New Roman" w:eastAsia="Times New Roman" w:hAnsi="Times New Roman" w:cs="Times New Roman"/>
                <w:sz w:val="24"/>
                <w:szCs w:val="24"/>
                <w:lang w:eastAsia="lv-LV"/>
              </w:rPr>
              <w:t>?</w:t>
            </w:r>
            <w:r w:rsidRPr="00B4640E">
              <w:rPr>
                <w:rFonts w:ascii="Times New Roman" w:eastAsia="Times New Roman" w:hAnsi="Times New Roman" w:cs="Times New Roman"/>
                <w:sz w:val="24"/>
                <w:szCs w:val="24"/>
                <w:lang w:eastAsia="lv-LV"/>
              </w:rPr>
              <w:t xml:space="preserve"> Viņi izvērtē, vai uzņēmumam ir potenciāls pārdot akcijas biržā</w:t>
            </w:r>
            <w:r w:rsidR="004D0554">
              <w:rPr>
                <w:rFonts w:ascii="Times New Roman" w:eastAsia="Times New Roman" w:hAnsi="Times New Roman" w:cs="Times New Roman"/>
                <w:sz w:val="24"/>
                <w:szCs w:val="24"/>
                <w:lang w:eastAsia="lv-LV"/>
              </w:rPr>
              <w:t>,</w:t>
            </w:r>
            <w:r w:rsidRPr="00B4640E">
              <w:rPr>
                <w:rFonts w:ascii="Times New Roman" w:eastAsia="Times New Roman" w:hAnsi="Times New Roman" w:cs="Times New Roman"/>
                <w:sz w:val="24"/>
                <w:szCs w:val="24"/>
                <w:lang w:eastAsia="lv-LV"/>
              </w:rPr>
              <w:t xml:space="preserve"> un</w:t>
            </w:r>
            <w:r w:rsidR="004D0554">
              <w:rPr>
                <w:rFonts w:ascii="Times New Roman" w:eastAsia="Times New Roman" w:hAnsi="Times New Roman" w:cs="Times New Roman"/>
                <w:sz w:val="24"/>
                <w:szCs w:val="24"/>
                <w:lang w:eastAsia="lv-LV"/>
              </w:rPr>
              <w:t>,</w:t>
            </w:r>
            <w:r w:rsidRPr="00B4640E">
              <w:rPr>
                <w:rFonts w:ascii="Times New Roman" w:eastAsia="Times New Roman" w:hAnsi="Times New Roman" w:cs="Times New Roman"/>
                <w:sz w:val="24"/>
                <w:szCs w:val="24"/>
                <w:lang w:eastAsia="lv-LV"/>
              </w:rPr>
              <w:t xml:space="preserve"> ja </w:t>
            </w:r>
            <w:r w:rsidR="004D0554">
              <w:rPr>
                <w:rFonts w:ascii="Times New Roman" w:eastAsia="Times New Roman" w:hAnsi="Times New Roman" w:cs="Times New Roman"/>
                <w:sz w:val="24"/>
                <w:szCs w:val="24"/>
                <w:lang w:eastAsia="lv-LV"/>
              </w:rPr>
              <w:t>ir</w:t>
            </w:r>
            <w:r w:rsidRPr="00B4640E">
              <w:rPr>
                <w:rFonts w:ascii="Times New Roman" w:eastAsia="Times New Roman" w:hAnsi="Times New Roman" w:cs="Times New Roman"/>
                <w:sz w:val="24"/>
                <w:szCs w:val="24"/>
                <w:lang w:eastAsia="lv-LV"/>
              </w:rPr>
              <w:t>, tad es varu pieteikties finansējumam</w:t>
            </w:r>
            <w:r w:rsidR="004D0554">
              <w:rPr>
                <w:rFonts w:ascii="Times New Roman" w:eastAsia="Times New Roman" w:hAnsi="Times New Roman" w:cs="Times New Roman"/>
                <w:sz w:val="24"/>
                <w:szCs w:val="24"/>
                <w:lang w:eastAsia="lv-LV"/>
              </w:rPr>
              <w:t>? V</w:t>
            </w:r>
            <w:r w:rsidRPr="00B4640E">
              <w:rPr>
                <w:rFonts w:ascii="Times New Roman" w:eastAsia="Times New Roman" w:hAnsi="Times New Roman" w:cs="Times New Roman"/>
                <w:sz w:val="24"/>
                <w:szCs w:val="24"/>
                <w:lang w:eastAsia="lv-LV"/>
              </w:rPr>
              <w:t>ai projektam, ko esmu aprakstījis, ir potenciāls saņemt finansējumu?</w:t>
            </w:r>
          </w:p>
        </w:tc>
      </w:tr>
      <w:tr w:rsidR="00B4640E" w:rsidRPr="00AF2308" w14:paraId="46C18AA2" w14:textId="77777777" w:rsidTr="00E86305">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A667B3" w14:textId="1AD9A856" w:rsidR="004D0554" w:rsidRDefault="004D0554" w:rsidP="004D0554">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Atbilde uz 6.jautājumu:</w:t>
            </w:r>
          </w:p>
          <w:p w14:paraId="4CBC8233" w14:textId="77777777" w:rsidR="004D0554" w:rsidRDefault="004D0554" w:rsidP="004D0554">
            <w:pPr>
              <w:spacing w:line="276" w:lineRule="auto"/>
              <w:jc w:val="both"/>
              <w:rPr>
                <w:rFonts w:ascii="Times New Roman" w:eastAsia="Calibri" w:hAnsi="Times New Roman" w:cs="Times New Roman"/>
                <w:sz w:val="24"/>
                <w:szCs w:val="24"/>
              </w:rPr>
            </w:pPr>
          </w:p>
          <w:p w14:paraId="7F37C00E" w14:textId="2446D740" w:rsidR="00B4640E" w:rsidRPr="00B4640E" w:rsidRDefault="004D0554" w:rsidP="004D0554">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I</w:t>
            </w:r>
            <w:r w:rsidR="00B4640E" w:rsidRPr="00B4640E">
              <w:rPr>
                <w:rFonts w:ascii="Times New Roman" w:eastAsia="Calibri" w:hAnsi="Times New Roman" w:cs="Times New Roman"/>
                <w:sz w:val="24"/>
                <w:szCs w:val="24"/>
              </w:rPr>
              <w:t>espējas saņemt finansējumu ir visiem projektu iesniegumiem, kas atbilst vērtēšanas kritērijiem, līdz ar to no CFLA puses Jūsu idejai ir potenciāls. Vienlaikus vēršu uzmanību, ka mēs varam sniegt tikai konceptuālu viedokli, jo neesam biržas eksperti, kā arī nepārzinām Jūsu finanšu situāciju un precīzus attīstības plānus. Tādēļ tālākai projekta izstrādei aicinām Jūs vispirms konsultēties biržā</w:t>
            </w:r>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kur</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Jums</w:t>
            </w:r>
            <w:proofErr w:type="spellEnd"/>
            <w:r w:rsidR="00B4640E" w:rsidRPr="00B4640E">
              <w:rPr>
                <w:rFonts w:ascii="Times New Roman" w:eastAsia="Calibri" w:hAnsi="Times New Roman" w:cs="Times New Roman"/>
                <w:sz w:val="24"/>
                <w:szCs w:val="24"/>
                <w:lang w:val="en-US"/>
              </w:rPr>
              <w:t xml:space="preserve"> var </w:t>
            </w:r>
            <w:proofErr w:type="spellStart"/>
            <w:r w:rsidR="00B4640E" w:rsidRPr="00B4640E">
              <w:rPr>
                <w:rFonts w:ascii="Times New Roman" w:eastAsia="Calibri" w:hAnsi="Times New Roman" w:cs="Times New Roman"/>
                <w:sz w:val="24"/>
                <w:szCs w:val="24"/>
                <w:lang w:val="en-US"/>
              </w:rPr>
              <w:t>sniegt</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skaidrojošu</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informāciju</w:t>
            </w:r>
            <w:proofErr w:type="spellEnd"/>
            <w:r w:rsidR="00B4640E" w:rsidRPr="00B4640E">
              <w:rPr>
                <w:rFonts w:ascii="Times New Roman" w:eastAsia="Calibri" w:hAnsi="Times New Roman" w:cs="Times New Roman"/>
                <w:sz w:val="24"/>
                <w:szCs w:val="24"/>
                <w:lang w:val="en-US"/>
              </w:rPr>
              <w:t xml:space="preserve"> par </w:t>
            </w:r>
            <w:proofErr w:type="spellStart"/>
            <w:r w:rsidR="00B4640E" w:rsidRPr="00B4640E">
              <w:rPr>
                <w:rFonts w:ascii="Times New Roman" w:eastAsia="Calibri" w:hAnsi="Times New Roman" w:cs="Times New Roman"/>
                <w:sz w:val="24"/>
                <w:szCs w:val="24"/>
                <w:lang w:val="en-US"/>
              </w:rPr>
              <w:t>akciju</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emisijas</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praktisko</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norisi</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kam</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pievērst</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uzmanību</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u.tml</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kā</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arī</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novērtēt</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vai</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Jūsu</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uzņēmums</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kopumā</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atbilst</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biržas</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nosacījumiem</w:t>
            </w:r>
            <w:proofErr w:type="spellEnd"/>
            <w:r w:rsidR="00B4640E" w:rsidRPr="00B4640E">
              <w:rPr>
                <w:rFonts w:ascii="Times New Roman" w:eastAsia="Calibri" w:hAnsi="Times New Roman" w:cs="Times New Roman"/>
                <w:sz w:val="24"/>
                <w:szCs w:val="24"/>
                <w:lang w:val="en-US"/>
              </w:rPr>
              <w:t xml:space="preserve">, par ko </w:t>
            </w:r>
            <w:proofErr w:type="spellStart"/>
            <w:r w:rsidR="00B4640E" w:rsidRPr="00B4640E">
              <w:rPr>
                <w:rFonts w:ascii="Times New Roman" w:eastAsia="Calibri" w:hAnsi="Times New Roman" w:cs="Times New Roman"/>
                <w:sz w:val="24"/>
                <w:szCs w:val="24"/>
                <w:lang w:val="en-US"/>
              </w:rPr>
              <w:t>birža</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Jums</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arī</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sniegs</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apliecinājumu</w:t>
            </w:r>
            <w:proofErr w:type="spellEnd"/>
            <w:r w:rsidR="00B4640E" w:rsidRPr="00B4640E">
              <w:rPr>
                <w:rFonts w:ascii="Times New Roman" w:eastAsia="Calibri" w:hAnsi="Times New Roman" w:cs="Times New Roman"/>
                <w:sz w:val="24"/>
                <w:szCs w:val="24"/>
                <w:lang w:val="en-US"/>
              </w:rPr>
              <w:t xml:space="preserve">, kas </w:t>
            </w:r>
            <w:proofErr w:type="spellStart"/>
            <w:r w:rsidR="00B4640E" w:rsidRPr="00B4640E">
              <w:rPr>
                <w:rFonts w:ascii="Times New Roman" w:eastAsia="Calibri" w:hAnsi="Times New Roman" w:cs="Times New Roman"/>
                <w:sz w:val="24"/>
                <w:szCs w:val="24"/>
                <w:lang w:val="en-US"/>
              </w:rPr>
              <w:t>jāpievieno</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projekta</w:t>
            </w:r>
            <w:proofErr w:type="spellEnd"/>
            <w:r w:rsidR="00B4640E" w:rsidRPr="00B4640E">
              <w:rPr>
                <w:rFonts w:ascii="Times New Roman" w:eastAsia="Calibri" w:hAnsi="Times New Roman" w:cs="Times New Roman"/>
                <w:sz w:val="24"/>
                <w:szCs w:val="24"/>
                <w:lang w:val="en-US"/>
              </w:rPr>
              <w:t xml:space="preserve"> </w:t>
            </w:r>
            <w:proofErr w:type="spellStart"/>
            <w:r w:rsidR="00B4640E" w:rsidRPr="00B4640E">
              <w:rPr>
                <w:rFonts w:ascii="Times New Roman" w:eastAsia="Calibri" w:hAnsi="Times New Roman" w:cs="Times New Roman"/>
                <w:sz w:val="24"/>
                <w:szCs w:val="24"/>
                <w:lang w:val="en-US"/>
              </w:rPr>
              <w:t>iesniegumam</w:t>
            </w:r>
            <w:proofErr w:type="spellEnd"/>
            <w:r w:rsidR="00B4640E" w:rsidRPr="00B4640E">
              <w:rPr>
                <w:rFonts w:ascii="Times New Roman" w:eastAsia="Calibri" w:hAnsi="Times New Roman" w:cs="Times New Roman"/>
                <w:sz w:val="24"/>
                <w:szCs w:val="24"/>
                <w:lang w:val="en-US"/>
              </w:rPr>
              <w:t xml:space="preserve">. </w:t>
            </w:r>
          </w:p>
          <w:p w14:paraId="18CFD2FF" w14:textId="77777777" w:rsidR="00B4640E" w:rsidRPr="00B4640E" w:rsidRDefault="00B4640E" w:rsidP="004D0554">
            <w:pPr>
              <w:spacing w:line="276" w:lineRule="auto"/>
              <w:jc w:val="both"/>
              <w:rPr>
                <w:rFonts w:ascii="Times New Roman" w:eastAsia="Calibri" w:hAnsi="Times New Roman" w:cs="Times New Roman"/>
                <w:sz w:val="24"/>
                <w:szCs w:val="24"/>
              </w:rPr>
            </w:pPr>
          </w:p>
          <w:p w14:paraId="77DE487D" w14:textId="77777777" w:rsidR="00B4640E" w:rsidRPr="00B4640E" w:rsidRDefault="00B4640E" w:rsidP="004D0554">
            <w:pPr>
              <w:spacing w:line="276" w:lineRule="auto"/>
              <w:jc w:val="both"/>
              <w:rPr>
                <w:rFonts w:ascii="Times New Roman" w:eastAsia="Calibri" w:hAnsi="Times New Roman" w:cs="Times New Roman"/>
                <w:sz w:val="24"/>
                <w:szCs w:val="24"/>
              </w:rPr>
            </w:pPr>
            <w:r w:rsidRPr="00B4640E">
              <w:rPr>
                <w:rFonts w:ascii="Times New Roman" w:eastAsia="Calibri" w:hAnsi="Times New Roman" w:cs="Times New Roman"/>
                <w:sz w:val="24"/>
                <w:szCs w:val="24"/>
              </w:rPr>
              <w:t xml:space="preserve">Savukārt detalizētu </w:t>
            </w:r>
            <w:proofErr w:type="spellStart"/>
            <w:r w:rsidRPr="00B4640E">
              <w:rPr>
                <w:rFonts w:ascii="Times New Roman" w:eastAsia="Calibri" w:hAnsi="Times New Roman" w:cs="Times New Roman"/>
                <w:sz w:val="24"/>
                <w:szCs w:val="24"/>
                <w:lang w:val="en-US"/>
              </w:rPr>
              <w:t>uzņēmuma</w:t>
            </w:r>
            <w:proofErr w:type="spellEnd"/>
            <w:r w:rsidRPr="00B4640E">
              <w:rPr>
                <w:rFonts w:ascii="Times New Roman" w:eastAsia="Calibri" w:hAnsi="Times New Roman" w:cs="Times New Roman"/>
                <w:sz w:val="24"/>
                <w:szCs w:val="24"/>
                <w:lang w:val="en-US"/>
              </w:rPr>
              <w:t xml:space="preserve"> finanšu </w:t>
            </w:r>
            <w:proofErr w:type="spellStart"/>
            <w:r w:rsidRPr="00B4640E">
              <w:rPr>
                <w:rFonts w:ascii="Times New Roman" w:eastAsia="Calibri" w:hAnsi="Times New Roman" w:cs="Times New Roman"/>
                <w:sz w:val="24"/>
                <w:szCs w:val="24"/>
                <w:lang w:val="en-US"/>
              </w:rPr>
              <w:t>situācijas</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biznesa</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plāna</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nozares</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izvērtējumu</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veic</w:t>
            </w:r>
            <w:proofErr w:type="spellEnd"/>
            <w:r w:rsidRPr="00B4640E">
              <w:rPr>
                <w:rFonts w:ascii="Times New Roman" w:eastAsia="Calibri" w:hAnsi="Times New Roman" w:cs="Times New Roman"/>
                <w:sz w:val="24"/>
                <w:szCs w:val="24"/>
                <w:lang w:val="en-US"/>
              </w:rPr>
              <w:t xml:space="preserve"> un </w:t>
            </w:r>
            <w:proofErr w:type="spellStart"/>
            <w:r w:rsidRPr="00B4640E">
              <w:rPr>
                <w:rFonts w:ascii="Times New Roman" w:eastAsia="Calibri" w:hAnsi="Times New Roman" w:cs="Times New Roman"/>
                <w:sz w:val="24"/>
                <w:szCs w:val="24"/>
                <w:lang w:val="en-US"/>
              </w:rPr>
              <w:t>sākotnējo</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viedokli</w:t>
            </w:r>
            <w:proofErr w:type="spellEnd"/>
            <w:r w:rsidRPr="00B4640E">
              <w:rPr>
                <w:rFonts w:ascii="Times New Roman" w:eastAsia="Calibri" w:hAnsi="Times New Roman" w:cs="Times New Roman"/>
                <w:sz w:val="24"/>
                <w:szCs w:val="24"/>
                <w:lang w:val="en-US"/>
              </w:rPr>
              <w:t xml:space="preserve"> par </w:t>
            </w:r>
            <w:proofErr w:type="spellStart"/>
            <w:r w:rsidRPr="00B4640E">
              <w:rPr>
                <w:rFonts w:ascii="Times New Roman" w:eastAsia="Calibri" w:hAnsi="Times New Roman" w:cs="Times New Roman"/>
                <w:sz w:val="24"/>
                <w:szCs w:val="24"/>
                <w:lang w:val="en-US"/>
              </w:rPr>
              <w:t>potenciālo</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investoru</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interesi</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sniedz</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konsultanti</w:t>
            </w:r>
            <w:proofErr w:type="spellEnd"/>
            <w:r w:rsidRPr="00B4640E">
              <w:rPr>
                <w:rFonts w:ascii="Times New Roman" w:eastAsia="Calibri" w:hAnsi="Times New Roman" w:cs="Times New Roman"/>
                <w:sz w:val="24"/>
                <w:szCs w:val="24"/>
                <w:lang w:val="en-US"/>
              </w:rPr>
              <w:t xml:space="preserve"> – </w:t>
            </w:r>
            <w:proofErr w:type="spellStart"/>
            <w:r w:rsidRPr="00B4640E">
              <w:rPr>
                <w:rFonts w:ascii="Times New Roman" w:eastAsia="Calibri" w:hAnsi="Times New Roman" w:cs="Times New Roman"/>
                <w:sz w:val="24"/>
                <w:szCs w:val="24"/>
                <w:lang w:val="en-US"/>
              </w:rPr>
              <w:t>kapitāla</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piesaistīšanas</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emisijas</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organizētāja</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pakalpojumu</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sniedzēji</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Sertificēto</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konsultantu</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saraksts</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pieejams</w:t>
            </w:r>
            <w:proofErr w:type="spellEnd"/>
            <w:r w:rsidRPr="00B4640E">
              <w:rPr>
                <w:rFonts w:ascii="Times New Roman" w:eastAsia="Calibri" w:hAnsi="Times New Roman" w:cs="Times New Roman"/>
                <w:sz w:val="24"/>
                <w:szCs w:val="24"/>
                <w:lang w:val="en-US"/>
              </w:rPr>
              <w:t xml:space="preserve"> </w:t>
            </w:r>
            <w:proofErr w:type="spellStart"/>
            <w:r w:rsidRPr="00B4640E">
              <w:rPr>
                <w:rFonts w:ascii="Times New Roman" w:eastAsia="Calibri" w:hAnsi="Times New Roman" w:cs="Times New Roman"/>
                <w:sz w:val="24"/>
                <w:szCs w:val="24"/>
                <w:lang w:val="en-US"/>
              </w:rPr>
              <w:t>šeit</w:t>
            </w:r>
            <w:proofErr w:type="spellEnd"/>
            <w:r w:rsidRPr="00B4640E">
              <w:rPr>
                <w:rFonts w:ascii="Times New Roman" w:eastAsia="Calibri" w:hAnsi="Times New Roman" w:cs="Times New Roman"/>
                <w:sz w:val="24"/>
                <w:szCs w:val="24"/>
                <w:lang w:val="en-US"/>
              </w:rPr>
              <w:t xml:space="preserve">: </w:t>
            </w:r>
            <w:hyperlink r:id="rId15" w:tgtFrame="_blank" w:history="1">
              <w:r w:rsidRPr="004D0554">
                <w:rPr>
                  <w:rFonts w:ascii="Times New Roman" w:eastAsia="Calibri" w:hAnsi="Times New Roman" w:cs="Times New Roman"/>
                  <w:color w:val="0000FF"/>
                  <w:sz w:val="24"/>
                  <w:szCs w:val="24"/>
                  <w:u w:val="single"/>
                  <w:lang w:val="en-US"/>
                </w:rPr>
                <w:t>https://nasdaqbaltic.com/lv/nac-uz-birzu/sertificeto-konsultantu-saraksts/</w:t>
              </w:r>
            </w:hyperlink>
            <w:r w:rsidRPr="00B4640E">
              <w:rPr>
                <w:rFonts w:ascii="Times New Roman" w:eastAsia="Calibri" w:hAnsi="Times New Roman" w:cs="Times New Roman"/>
                <w:sz w:val="24"/>
                <w:szCs w:val="24"/>
              </w:rPr>
              <w:t>, taču varat izvēlēties arī citus konsultantus, kas nav sarakstā. Ja šo pakalpojumu izmaksas gribat iekļaut projektā kā attiecināmās izmaksas (lai daļu pēc projekta īstenošanas saņemtu atpakaļ kā ERAF finansējumu), tad jāņem vērā sekojošais:</w:t>
            </w:r>
          </w:p>
          <w:p w14:paraId="258FEB08" w14:textId="77777777" w:rsidR="00B4640E" w:rsidRPr="00B4640E" w:rsidRDefault="00B4640E" w:rsidP="004D0554">
            <w:pPr>
              <w:numPr>
                <w:ilvl w:val="0"/>
                <w:numId w:val="18"/>
              </w:numPr>
              <w:spacing w:line="276" w:lineRule="auto"/>
              <w:jc w:val="both"/>
              <w:rPr>
                <w:rFonts w:ascii="Times New Roman" w:eastAsia="Times New Roman" w:hAnsi="Times New Roman" w:cs="Times New Roman"/>
                <w:sz w:val="24"/>
                <w:szCs w:val="24"/>
              </w:rPr>
            </w:pPr>
            <w:r w:rsidRPr="00B4640E">
              <w:rPr>
                <w:rFonts w:ascii="Times New Roman" w:eastAsia="Times New Roman" w:hAnsi="Times New Roman" w:cs="Times New Roman"/>
                <w:sz w:val="24"/>
                <w:szCs w:val="24"/>
              </w:rPr>
              <w:t xml:space="preserve">attiecībā uz visām projekta attiecināmajām izmaksām jāievēro normatīvie akti par iepirkumu procedūru, tātad, </w:t>
            </w:r>
            <w:r w:rsidRPr="00B4640E">
              <w:rPr>
                <w:rFonts w:ascii="Times New Roman" w:eastAsia="Times New Roman" w:hAnsi="Times New Roman" w:cs="Times New Roman"/>
                <w:sz w:val="24"/>
                <w:szCs w:val="24"/>
                <w:u w:val="single"/>
              </w:rPr>
              <w:t>lai izvēlētos pakalpojuma sniedzēju, Jums būs jāveic tirgus cenu aptauja</w:t>
            </w:r>
            <w:r w:rsidRPr="00B4640E">
              <w:rPr>
                <w:rFonts w:ascii="Times New Roman" w:eastAsia="Times New Roman" w:hAnsi="Times New Roman" w:cs="Times New Roman"/>
                <w:sz w:val="24"/>
                <w:szCs w:val="24"/>
              </w:rPr>
              <w:t xml:space="preserve"> un jāpamato sava izvēle (lētākais piedāvājums/ saimnieciski izdevīgākais piedāvājums u.tml.),</w:t>
            </w:r>
          </w:p>
          <w:p w14:paraId="1D38630E" w14:textId="77777777" w:rsidR="00B4640E" w:rsidRPr="00B4640E" w:rsidRDefault="00B4640E" w:rsidP="004D0554">
            <w:pPr>
              <w:numPr>
                <w:ilvl w:val="0"/>
                <w:numId w:val="18"/>
              </w:numPr>
              <w:spacing w:line="276" w:lineRule="auto"/>
              <w:jc w:val="both"/>
              <w:rPr>
                <w:rFonts w:ascii="Times New Roman" w:eastAsia="Times New Roman" w:hAnsi="Times New Roman" w:cs="Times New Roman"/>
                <w:sz w:val="24"/>
                <w:szCs w:val="24"/>
              </w:rPr>
            </w:pPr>
            <w:r w:rsidRPr="00B4640E">
              <w:rPr>
                <w:rFonts w:ascii="Times New Roman" w:eastAsia="Times New Roman" w:hAnsi="Times New Roman" w:cs="Times New Roman"/>
                <w:sz w:val="24"/>
                <w:szCs w:val="24"/>
              </w:rPr>
              <w:t xml:space="preserve">papildus jāsaprot, saskaņā ar kuru regulējumu plānojat pieteikties ERAF finansējumam: </w:t>
            </w:r>
          </w:p>
          <w:p w14:paraId="173CDF10" w14:textId="77777777" w:rsidR="00B4640E" w:rsidRPr="00B4640E" w:rsidRDefault="00B4640E" w:rsidP="004D0554">
            <w:pPr>
              <w:numPr>
                <w:ilvl w:val="1"/>
                <w:numId w:val="18"/>
              </w:numPr>
              <w:spacing w:line="276" w:lineRule="auto"/>
              <w:jc w:val="both"/>
              <w:rPr>
                <w:rFonts w:ascii="Times New Roman" w:eastAsia="Times New Roman" w:hAnsi="Times New Roman" w:cs="Times New Roman"/>
                <w:sz w:val="24"/>
                <w:szCs w:val="24"/>
              </w:rPr>
            </w:pPr>
            <w:proofErr w:type="spellStart"/>
            <w:r w:rsidRPr="00B4640E">
              <w:rPr>
                <w:rFonts w:ascii="Times New Roman" w:eastAsia="Times New Roman" w:hAnsi="Times New Roman" w:cs="Times New Roman"/>
                <w:i/>
                <w:iCs/>
                <w:sz w:val="24"/>
                <w:szCs w:val="24"/>
              </w:rPr>
              <w:t>de</w:t>
            </w:r>
            <w:proofErr w:type="spellEnd"/>
            <w:r w:rsidRPr="00B4640E">
              <w:rPr>
                <w:rFonts w:ascii="Times New Roman" w:eastAsia="Times New Roman" w:hAnsi="Times New Roman" w:cs="Times New Roman"/>
                <w:i/>
                <w:iCs/>
                <w:sz w:val="24"/>
                <w:szCs w:val="24"/>
              </w:rPr>
              <w:t xml:space="preserve"> </w:t>
            </w:r>
            <w:proofErr w:type="spellStart"/>
            <w:r w:rsidRPr="00B4640E">
              <w:rPr>
                <w:rFonts w:ascii="Times New Roman" w:eastAsia="Times New Roman" w:hAnsi="Times New Roman" w:cs="Times New Roman"/>
                <w:i/>
                <w:iCs/>
                <w:sz w:val="24"/>
                <w:szCs w:val="24"/>
              </w:rPr>
              <w:t>minimis</w:t>
            </w:r>
            <w:proofErr w:type="spellEnd"/>
            <w:r w:rsidRPr="00B4640E">
              <w:rPr>
                <w:rFonts w:ascii="Times New Roman" w:eastAsia="Times New Roman" w:hAnsi="Times New Roman" w:cs="Times New Roman"/>
                <w:sz w:val="24"/>
                <w:szCs w:val="24"/>
              </w:rPr>
              <w:t xml:space="preserve"> atbalsta regulējumam ir salīdzinoši vienkāršākas prasības, līdz ar to, ja vien Jūsu uzņēmumam ir pieejams </w:t>
            </w:r>
            <w:proofErr w:type="spellStart"/>
            <w:r w:rsidRPr="00B4640E">
              <w:rPr>
                <w:rFonts w:ascii="Times New Roman" w:eastAsia="Times New Roman" w:hAnsi="Times New Roman" w:cs="Times New Roman"/>
                <w:i/>
                <w:iCs/>
                <w:sz w:val="24"/>
                <w:szCs w:val="24"/>
              </w:rPr>
              <w:t>de</w:t>
            </w:r>
            <w:proofErr w:type="spellEnd"/>
            <w:r w:rsidRPr="00B4640E">
              <w:rPr>
                <w:rFonts w:ascii="Times New Roman" w:eastAsia="Times New Roman" w:hAnsi="Times New Roman" w:cs="Times New Roman"/>
                <w:i/>
                <w:iCs/>
                <w:sz w:val="24"/>
                <w:szCs w:val="24"/>
              </w:rPr>
              <w:t xml:space="preserve"> </w:t>
            </w:r>
            <w:proofErr w:type="spellStart"/>
            <w:r w:rsidRPr="00B4640E">
              <w:rPr>
                <w:rFonts w:ascii="Times New Roman" w:eastAsia="Times New Roman" w:hAnsi="Times New Roman" w:cs="Times New Roman"/>
                <w:i/>
                <w:iCs/>
                <w:sz w:val="24"/>
                <w:szCs w:val="24"/>
              </w:rPr>
              <w:t>minimis</w:t>
            </w:r>
            <w:proofErr w:type="spellEnd"/>
            <w:r w:rsidRPr="00B4640E">
              <w:rPr>
                <w:rFonts w:ascii="Times New Roman" w:eastAsia="Times New Roman" w:hAnsi="Times New Roman" w:cs="Times New Roman"/>
                <w:sz w:val="24"/>
                <w:szCs w:val="24"/>
              </w:rPr>
              <w:t xml:space="preserve"> finansējums, aicinām izvēlēties šo regulējumu. Par </w:t>
            </w:r>
            <w:proofErr w:type="spellStart"/>
            <w:r w:rsidRPr="00B4640E">
              <w:rPr>
                <w:rFonts w:ascii="Times New Roman" w:eastAsia="Times New Roman" w:hAnsi="Times New Roman" w:cs="Times New Roman"/>
                <w:i/>
                <w:iCs/>
                <w:sz w:val="24"/>
                <w:szCs w:val="24"/>
              </w:rPr>
              <w:t>de</w:t>
            </w:r>
            <w:proofErr w:type="spellEnd"/>
            <w:r w:rsidRPr="00B4640E">
              <w:rPr>
                <w:rFonts w:ascii="Times New Roman" w:eastAsia="Times New Roman" w:hAnsi="Times New Roman" w:cs="Times New Roman"/>
                <w:i/>
                <w:iCs/>
                <w:sz w:val="24"/>
                <w:szCs w:val="24"/>
              </w:rPr>
              <w:t xml:space="preserve"> </w:t>
            </w:r>
            <w:proofErr w:type="spellStart"/>
            <w:r w:rsidRPr="00B4640E">
              <w:rPr>
                <w:rFonts w:ascii="Times New Roman" w:eastAsia="Times New Roman" w:hAnsi="Times New Roman" w:cs="Times New Roman"/>
                <w:i/>
                <w:iCs/>
                <w:sz w:val="24"/>
                <w:szCs w:val="24"/>
              </w:rPr>
              <w:t>minimis</w:t>
            </w:r>
            <w:proofErr w:type="spellEnd"/>
            <w:r w:rsidRPr="00B4640E">
              <w:rPr>
                <w:rFonts w:ascii="Times New Roman" w:eastAsia="Times New Roman" w:hAnsi="Times New Roman" w:cs="Times New Roman"/>
                <w:sz w:val="24"/>
                <w:szCs w:val="24"/>
              </w:rPr>
              <w:t xml:space="preserve"> finansējuma pieejamību var pārliecināties, no VID Elektroniskās deklarēšanās sistēmas pieslēdzoties </w:t>
            </w:r>
            <w:proofErr w:type="spellStart"/>
            <w:r w:rsidRPr="00B4640E">
              <w:rPr>
                <w:rFonts w:ascii="Times New Roman" w:eastAsia="Times New Roman" w:hAnsi="Times New Roman" w:cs="Times New Roman"/>
                <w:i/>
                <w:iCs/>
                <w:sz w:val="24"/>
                <w:szCs w:val="24"/>
              </w:rPr>
              <w:t>De</w:t>
            </w:r>
            <w:proofErr w:type="spellEnd"/>
            <w:r w:rsidRPr="00B4640E">
              <w:rPr>
                <w:rFonts w:ascii="Times New Roman" w:eastAsia="Times New Roman" w:hAnsi="Times New Roman" w:cs="Times New Roman"/>
                <w:i/>
                <w:iCs/>
                <w:sz w:val="24"/>
                <w:szCs w:val="24"/>
              </w:rPr>
              <w:t xml:space="preserve"> </w:t>
            </w:r>
            <w:proofErr w:type="spellStart"/>
            <w:r w:rsidRPr="00B4640E">
              <w:rPr>
                <w:rFonts w:ascii="Times New Roman" w:eastAsia="Times New Roman" w:hAnsi="Times New Roman" w:cs="Times New Roman"/>
                <w:i/>
                <w:iCs/>
                <w:sz w:val="24"/>
                <w:szCs w:val="24"/>
              </w:rPr>
              <w:t>minimis</w:t>
            </w:r>
            <w:proofErr w:type="spellEnd"/>
            <w:r w:rsidRPr="00B4640E">
              <w:rPr>
                <w:rFonts w:ascii="Times New Roman" w:eastAsia="Times New Roman" w:hAnsi="Times New Roman" w:cs="Times New Roman"/>
                <w:sz w:val="24"/>
                <w:szCs w:val="24"/>
              </w:rPr>
              <w:t xml:space="preserve"> atbalsta uzskaites sistēmai. Šajā gadījumā pirms projekta iesniegšanas CFLA jau varat arī slēgt līgumu ar konkrētu emisijas organizētāju un izmantot tā pakalpojumus, kā arī veikt citas projekta darbības, un šīs izmaksas varēsiet iekļaut projekta attiecināmajās izmaksās,</w:t>
            </w:r>
          </w:p>
          <w:p w14:paraId="15462D86" w14:textId="77777777" w:rsidR="00B4640E" w:rsidRPr="00B4640E" w:rsidRDefault="00B4640E" w:rsidP="004D0554">
            <w:pPr>
              <w:numPr>
                <w:ilvl w:val="1"/>
                <w:numId w:val="18"/>
              </w:numPr>
              <w:spacing w:line="276" w:lineRule="auto"/>
              <w:jc w:val="both"/>
              <w:rPr>
                <w:rFonts w:ascii="Times New Roman" w:eastAsia="Times New Roman" w:hAnsi="Times New Roman" w:cs="Times New Roman"/>
                <w:sz w:val="24"/>
                <w:szCs w:val="24"/>
              </w:rPr>
            </w:pPr>
            <w:r w:rsidRPr="00B4640E">
              <w:rPr>
                <w:rFonts w:ascii="Times New Roman" w:eastAsia="Times New Roman" w:hAnsi="Times New Roman" w:cs="Times New Roman"/>
                <w:sz w:val="24"/>
                <w:szCs w:val="24"/>
              </w:rPr>
              <w:t xml:space="preserve">ja </w:t>
            </w:r>
            <w:proofErr w:type="spellStart"/>
            <w:r w:rsidRPr="00B4640E">
              <w:rPr>
                <w:rFonts w:ascii="Times New Roman" w:eastAsia="Times New Roman" w:hAnsi="Times New Roman" w:cs="Times New Roman"/>
                <w:i/>
                <w:iCs/>
                <w:sz w:val="24"/>
                <w:szCs w:val="24"/>
              </w:rPr>
              <w:t>de</w:t>
            </w:r>
            <w:proofErr w:type="spellEnd"/>
            <w:r w:rsidRPr="00B4640E">
              <w:rPr>
                <w:rFonts w:ascii="Times New Roman" w:eastAsia="Times New Roman" w:hAnsi="Times New Roman" w:cs="Times New Roman"/>
                <w:i/>
                <w:iCs/>
                <w:sz w:val="24"/>
                <w:szCs w:val="24"/>
              </w:rPr>
              <w:t xml:space="preserve"> </w:t>
            </w:r>
            <w:proofErr w:type="spellStart"/>
            <w:r w:rsidRPr="00B4640E">
              <w:rPr>
                <w:rFonts w:ascii="Times New Roman" w:eastAsia="Times New Roman" w:hAnsi="Times New Roman" w:cs="Times New Roman"/>
                <w:i/>
                <w:iCs/>
                <w:sz w:val="24"/>
                <w:szCs w:val="24"/>
              </w:rPr>
              <w:t>minimis</w:t>
            </w:r>
            <w:proofErr w:type="spellEnd"/>
            <w:r w:rsidRPr="00B4640E">
              <w:rPr>
                <w:rFonts w:ascii="Times New Roman" w:eastAsia="Times New Roman" w:hAnsi="Times New Roman" w:cs="Times New Roman"/>
                <w:i/>
                <w:iCs/>
                <w:sz w:val="24"/>
                <w:szCs w:val="24"/>
              </w:rPr>
              <w:t xml:space="preserve"> </w:t>
            </w:r>
            <w:r w:rsidRPr="00B4640E">
              <w:rPr>
                <w:rFonts w:ascii="Times New Roman" w:eastAsia="Times New Roman" w:hAnsi="Times New Roman" w:cs="Times New Roman"/>
                <w:sz w:val="24"/>
                <w:szCs w:val="24"/>
              </w:rPr>
              <w:t xml:space="preserve">finansējums uzņēmumam nav pieejams, jāizvēlas Regulas Nr. 651/2014 regulējums. Šajā gadījumā projekta darbības līdz iesnieguma iesniegšanai nedrīkst uzsākt – </w:t>
            </w:r>
            <w:r w:rsidRPr="00B4640E">
              <w:rPr>
                <w:rFonts w:ascii="Times New Roman" w:eastAsia="Times New Roman" w:hAnsi="Times New Roman" w:cs="Times New Roman"/>
                <w:sz w:val="24"/>
                <w:szCs w:val="24"/>
              </w:rPr>
              <w:lastRenderedPageBreak/>
              <w:t>maksimālais, ko varat darīt pirms tam, ir izvēlēties pakalpojuma sniedzēju, bet vēl nenoslēgt līgumu vai, ja līgumu vēlaties noslēgt, atrunāt, ka tas stājas spēkā pēc projekta iesnieguma iesniegšanas CFLA.</w:t>
            </w:r>
          </w:p>
          <w:p w14:paraId="404D36CF" w14:textId="77777777" w:rsidR="00B4640E" w:rsidRPr="00B4640E" w:rsidRDefault="00B4640E" w:rsidP="004D0554">
            <w:pPr>
              <w:spacing w:line="276" w:lineRule="auto"/>
              <w:jc w:val="both"/>
              <w:rPr>
                <w:rFonts w:ascii="Times New Roman" w:eastAsia="Calibri" w:hAnsi="Times New Roman" w:cs="Times New Roman"/>
                <w:sz w:val="24"/>
                <w:szCs w:val="24"/>
              </w:rPr>
            </w:pPr>
          </w:p>
          <w:p w14:paraId="11B42379" w14:textId="29CE1EB8" w:rsidR="00B4640E" w:rsidRPr="004D0554" w:rsidRDefault="00B4640E" w:rsidP="004D0554">
            <w:pPr>
              <w:spacing w:line="276" w:lineRule="auto"/>
              <w:jc w:val="both"/>
              <w:rPr>
                <w:rFonts w:ascii="Times New Roman" w:eastAsia="Calibri" w:hAnsi="Times New Roman" w:cs="Times New Roman"/>
                <w:sz w:val="24"/>
                <w:szCs w:val="24"/>
              </w:rPr>
            </w:pPr>
            <w:r w:rsidRPr="00B4640E">
              <w:rPr>
                <w:rFonts w:ascii="Times New Roman" w:eastAsia="Calibri" w:hAnsi="Times New Roman" w:cs="Times New Roman"/>
                <w:sz w:val="24"/>
                <w:szCs w:val="24"/>
              </w:rPr>
              <w:t xml:space="preserve">Papildus informēju, ka </w:t>
            </w:r>
            <w:hyperlink r:id="rId16" w:history="1">
              <w:r w:rsidRPr="004D0554">
                <w:rPr>
                  <w:rFonts w:ascii="Times New Roman" w:eastAsia="Calibri" w:hAnsi="Times New Roman" w:cs="Times New Roman"/>
                  <w:color w:val="0000FF"/>
                  <w:sz w:val="24"/>
                  <w:szCs w:val="24"/>
                  <w:u w:val="single"/>
                </w:rPr>
                <w:t>CFLA tīmekļvietnē</w:t>
              </w:r>
            </w:hyperlink>
            <w:r w:rsidRPr="00B4640E">
              <w:rPr>
                <w:rFonts w:ascii="Times New Roman" w:eastAsia="Calibri" w:hAnsi="Times New Roman" w:cs="Times New Roman"/>
                <w:sz w:val="24"/>
                <w:szCs w:val="24"/>
              </w:rPr>
              <w:t xml:space="preserve"> ir pieejama detalizētāka informācija par projektu iesniegumu atlasi, t.sk. projekta iesnieguma veidlapas aizpildīšanas metodika, kas, piemēram, skaidro atšķirības starp </w:t>
            </w:r>
            <w:proofErr w:type="spellStart"/>
            <w:r w:rsidRPr="00B4640E">
              <w:rPr>
                <w:rFonts w:ascii="Times New Roman" w:eastAsia="Calibri" w:hAnsi="Times New Roman" w:cs="Times New Roman"/>
                <w:i/>
                <w:iCs/>
                <w:sz w:val="24"/>
                <w:szCs w:val="24"/>
              </w:rPr>
              <w:t>de</w:t>
            </w:r>
            <w:proofErr w:type="spellEnd"/>
            <w:r w:rsidRPr="00B4640E">
              <w:rPr>
                <w:rFonts w:ascii="Times New Roman" w:eastAsia="Calibri" w:hAnsi="Times New Roman" w:cs="Times New Roman"/>
                <w:i/>
                <w:iCs/>
                <w:sz w:val="24"/>
                <w:szCs w:val="24"/>
              </w:rPr>
              <w:t xml:space="preserve"> </w:t>
            </w:r>
            <w:proofErr w:type="spellStart"/>
            <w:r w:rsidRPr="00B4640E">
              <w:rPr>
                <w:rFonts w:ascii="Times New Roman" w:eastAsia="Calibri" w:hAnsi="Times New Roman" w:cs="Times New Roman"/>
                <w:i/>
                <w:iCs/>
                <w:sz w:val="24"/>
                <w:szCs w:val="24"/>
              </w:rPr>
              <w:t>minimis</w:t>
            </w:r>
            <w:proofErr w:type="spellEnd"/>
            <w:r w:rsidRPr="00B4640E">
              <w:rPr>
                <w:rFonts w:ascii="Times New Roman" w:eastAsia="Calibri" w:hAnsi="Times New Roman" w:cs="Times New Roman"/>
                <w:sz w:val="24"/>
                <w:szCs w:val="24"/>
              </w:rPr>
              <w:t xml:space="preserve"> un Regulas Nr. 651/2014 nosacījumiem, kā arī 18.03.2020. semināra prezentācijas un video ieraksti, kur tiek skaidroti atlases nosacījumi.</w:t>
            </w:r>
          </w:p>
        </w:tc>
      </w:tr>
      <w:tr w:rsidR="00B4640E" w:rsidRPr="00AF2308" w14:paraId="68839548" w14:textId="77777777" w:rsidTr="00B4640E">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4F6490" w14:textId="3AF85912" w:rsidR="00B4640E" w:rsidRDefault="0017082F" w:rsidP="00C13B6A">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B4640E">
              <w:rPr>
                <w:rFonts w:ascii="Times New Roman" w:eastAsia="Times New Roman" w:hAnsi="Times New Roman" w:cs="Times New Roman"/>
                <w:sz w:val="24"/>
                <w:szCs w:val="24"/>
                <w:lang w:eastAsia="lv-LV"/>
              </w:rPr>
              <w:t>.jautājums:</w:t>
            </w:r>
          </w:p>
          <w:p w14:paraId="34B907DA" w14:textId="77777777" w:rsidR="00B4640E" w:rsidRPr="00B4640E" w:rsidRDefault="00B4640E" w:rsidP="00B4640E">
            <w:pPr>
              <w:spacing w:line="276" w:lineRule="auto"/>
              <w:contextualSpacing/>
              <w:jc w:val="both"/>
              <w:rPr>
                <w:rFonts w:ascii="Times New Roman" w:eastAsia="Times New Roman" w:hAnsi="Times New Roman" w:cs="Times New Roman"/>
                <w:sz w:val="24"/>
                <w:szCs w:val="24"/>
                <w:lang w:eastAsia="lv-LV"/>
              </w:rPr>
            </w:pPr>
          </w:p>
          <w:p w14:paraId="031E674A" w14:textId="27F34658" w:rsidR="00B4640E" w:rsidRPr="00B4640E" w:rsidRDefault="00B4640E" w:rsidP="00B4640E">
            <w:pPr>
              <w:spacing w:line="276" w:lineRule="auto"/>
              <w:jc w:val="both"/>
              <w:rPr>
                <w:rFonts w:ascii="Times New Roman" w:eastAsia="Calibri" w:hAnsi="Times New Roman" w:cs="Times New Roman"/>
                <w:sz w:val="24"/>
                <w:szCs w:val="24"/>
              </w:rPr>
            </w:pPr>
            <w:r w:rsidRPr="00B4640E">
              <w:rPr>
                <w:rFonts w:ascii="Times New Roman" w:eastAsia="Calibri" w:hAnsi="Times New Roman" w:cs="Times New Roman"/>
                <w:sz w:val="24"/>
                <w:szCs w:val="24"/>
              </w:rPr>
              <w:t xml:space="preserve">Par </w:t>
            </w:r>
            <w:hyperlink r:id="rId17" w:history="1">
              <w:r w:rsidRPr="00B4640E">
                <w:rPr>
                  <w:rFonts w:ascii="Times New Roman" w:eastAsia="Calibri" w:hAnsi="Times New Roman" w:cs="Times New Roman"/>
                  <w:color w:val="0563C1"/>
                  <w:sz w:val="24"/>
                  <w:szCs w:val="24"/>
                  <w:u w:val="single"/>
                </w:rPr>
                <w:t>MK noteikumu Nr.35</w:t>
              </w:r>
            </w:hyperlink>
            <w:r w:rsidRPr="00B4640E">
              <w:rPr>
                <w:rFonts w:ascii="Times New Roman" w:eastAsia="Calibri" w:hAnsi="Times New Roman" w:cs="Times New Roman"/>
                <w:sz w:val="24"/>
                <w:szCs w:val="24"/>
              </w:rPr>
              <w:t xml:space="preserve"> 16.1. apakšpunkta otro daļu “Projekta iesniedzējs var secīgi iesniegt otru projekta iesniegumu par akciju iekļaušanu tirdzniecības vietā tikai tad, ja tas pasākuma ietvaros tirdzniecības vietā ir sekmīgi iekļāvis parāda vērtspapīrus”:</w:t>
            </w:r>
          </w:p>
          <w:p w14:paraId="406D2673" w14:textId="2B7C9676" w:rsidR="00B4640E" w:rsidRPr="00B4640E" w:rsidRDefault="00B4640E" w:rsidP="00B4640E">
            <w:pPr>
              <w:pStyle w:val="ListParagraph"/>
              <w:numPr>
                <w:ilvl w:val="0"/>
                <w:numId w:val="16"/>
              </w:numPr>
              <w:spacing w:line="276" w:lineRule="auto"/>
              <w:ind w:left="319"/>
              <w:jc w:val="both"/>
              <w:rPr>
                <w:rFonts w:ascii="Times New Roman" w:eastAsia="Times New Roman" w:hAnsi="Times New Roman" w:cs="Times New Roman"/>
                <w:sz w:val="24"/>
                <w:szCs w:val="24"/>
              </w:rPr>
            </w:pPr>
            <w:r w:rsidRPr="00B4640E">
              <w:rPr>
                <w:rFonts w:ascii="Times New Roman" w:eastAsia="Times New Roman" w:hAnsi="Times New Roman" w:cs="Times New Roman"/>
                <w:sz w:val="24"/>
                <w:szCs w:val="24"/>
              </w:rPr>
              <w:t>kādēļ tirdzniecības vietā jābūt sekmīgi iekļautiem tieši parāda vērtspapīriem, ja, piemēram, ideja būtu vēlreiz iesniegt projektu par akciju emisiju?</w:t>
            </w:r>
          </w:p>
          <w:p w14:paraId="1590A12A" w14:textId="629223E7" w:rsidR="00B4640E" w:rsidRPr="00B4640E" w:rsidRDefault="00B4640E" w:rsidP="00B4640E">
            <w:pPr>
              <w:numPr>
                <w:ilvl w:val="0"/>
                <w:numId w:val="16"/>
              </w:numPr>
              <w:spacing w:line="276" w:lineRule="auto"/>
              <w:ind w:left="319"/>
              <w:jc w:val="both"/>
              <w:rPr>
                <w:rFonts w:ascii="Times New Roman" w:eastAsia="Times New Roman" w:hAnsi="Times New Roman" w:cs="Times New Roman"/>
                <w:sz w:val="24"/>
                <w:szCs w:val="24"/>
              </w:rPr>
            </w:pPr>
            <w:r w:rsidRPr="00B4640E">
              <w:rPr>
                <w:rFonts w:ascii="Times New Roman" w:eastAsia="Times New Roman" w:hAnsi="Times New Roman" w:cs="Times New Roman"/>
                <w:sz w:val="24"/>
                <w:szCs w:val="24"/>
              </w:rPr>
              <w:t>apakšpunkts atrunā, ka, ja viens projekts tiek īstenots, otru vēl nevar iesniegt, kā arī saskaņā ar atbildēm uz jautājumiem nevar iesniegt projektu, kurā vēl nav izlemts – emitēt akcijas vai obligācijas. Kā ar situāciju, ja uzņēmums skaidri zina, ka grib darīt abus – vai to var darīt? T.i., uzreiz iesniegt divus projektu iesniegumus - vienu par akcijām, vienu par obligācijām?</w:t>
            </w:r>
          </w:p>
        </w:tc>
      </w:tr>
      <w:tr w:rsidR="00B4640E" w:rsidRPr="00AF2308" w14:paraId="463D5B67" w14:textId="77777777" w:rsidTr="00B4640E">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8C64778" w14:textId="4B282453" w:rsidR="00B4640E" w:rsidRPr="00B4640E" w:rsidRDefault="00B4640E" w:rsidP="00B4640E">
            <w:pPr>
              <w:spacing w:line="276" w:lineRule="auto"/>
              <w:contextualSpacing/>
              <w:jc w:val="both"/>
              <w:rPr>
                <w:rFonts w:ascii="Times New Roman" w:eastAsia="Times New Roman" w:hAnsi="Times New Roman" w:cs="Times New Roman"/>
                <w:sz w:val="24"/>
                <w:szCs w:val="24"/>
                <w:lang w:eastAsia="lv-LV"/>
              </w:rPr>
            </w:pPr>
            <w:r w:rsidRPr="00B4640E">
              <w:rPr>
                <w:rFonts w:ascii="Times New Roman" w:eastAsia="Times New Roman" w:hAnsi="Times New Roman" w:cs="Times New Roman"/>
                <w:sz w:val="24"/>
                <w:szCs w:val="24"/>
                <w:lang w:eastAsia="lv-LV"/>
              </w:rPr>
              <w:t xml:space="preserve">Atbilde uz </w:t>
            </w:r>
            <w:r w:rsidR="0017082F">
              <w:rPr>
                <w:rFonts w:ascii="Times New Roman" w:eastAsia="Times New Roman" w:hAnsi="Times New Roman" w:cs="Times New Roman"/>
                <w:sz w:val="24"/>
                <w:szCs w:val="24"/>
                <w:lang w:eastAsia="lv-LV"/>
              </w:rPr>
              <w:t>7</w:t>
            </w:r>
            <w:r w:rsidRPr="00B4640E">
              <w:rPr>
                <w:rFonts w:ascii="Times New Roman" w:eastAsia="Times New Roman" w:hAnsi="Times New Roman" w:cs="Times New Roman"/>
                <w:sz w:val="24"/>
                <w:szCs w:val="24"/>
                <w:lang w:eastAsia="lv-LV"/>
              </w:rPr>
              <w:t>.jautājumu:</w:t>
            </w:r>
          </w:p>
          <w:p w14:paraId="57F41DFB" w14:textId="77777777" w:rsidR="00B4640E" w:rsidRPr="00B4640E" w:rsidRDefault="00B4640E" w:rsidP="00B4640E">
            <w:pPr>
              <w:spacing w:line="276" w:lineRule="auto"/>
              <w:contextualSpacing/>
              <w:jc w:val="both"/>
              <w:rPr>
                <w:rFonts w:ascii="Times New Roman" w:eastAsia="Times New Roman" w:hAnsi="Times New Roman" w:cs="Times New Roman"/>
                <w:sz w:val="24"/>
                <w:szCs w:val="24"/>
                <w:lang w:eastAsia="lv-LV"/>
              </w:rPr>
            </w:pPr>
          </w:p>
          <w:p w14:paraId="7DA2CF07" w14:textId="77777777" w:rsidR="00B4640E" w:rsidRPr="00B4640E" w:rsidRDefault="00B4640E" w:rsidP="00B4640E">
            <w:pPr>
              <w:numPr>
                <w:ilvl w:val="0"/>
                <w:numId w:val="17"/>
              </w:numPr>
              <w:spacing w:line="276" w:lineRule="auto"/>
              <w:ind w:left="319"/>
              <w:jc w:val="both"/>
              <w:rPr>
                <w:rFonts w:ascii="Times New Roman" w:eastAsia="Times New Roman" w:hAnsi="Times New Roman" w:cs="Times New Roman"/>
                <w:sz w:val="24"/>
                <w:szCs w:val="24"/>
              </w:rPr>
            </w:pPr>
            <w:r w:rsidRPr="00B4640E">
              <w:rPr>
                <w:rFonts w:ascii="Times New Roman" w:eastAsia="Times New Roman" w:hAnsi="Times New Roman" w:cs="Times New Roman"/>
                <w:sz w:val="24"/>
                <w:szCs w:val="24"/>
              </w:rPr>
              <w:t>minētais MK noteikumu apakšpunkts izteikts redakcionāli neprecīzi, nosacījuma pamatideja ir – ja tiek īstenota akciju vai parāda vērtspapīru emisija, nākamo projekta iesniegumu drīkst iesniegt tikai pēc to iekļaušanas tirdzniecības vietā – neatkarīgi no izvēlētā vērtspapīru veida,</w:t>
            </w:r>
          </w:p>
          <w:p w14:paraId="6EAEE2BD" w14:textId="5722F178" w:rsidR="00B4640E" w:rsidRPr="00B4640E" w:rsidRDefault="00B4640E" w:rsidP="00B4640E">
            <w:pPr>
              <w:numPr>
                <w:ilvl w:val="0"/>
                <w:numId w:val="17"/>
              </w:numPr>
              <w:spacing w:line="276" w:lineRule="auto"/>
              <w:ind w:left="319"/>
              <w:jc w:val="both"/>
              <w:rPr>
                <w:rFonts w:ascii="Times New Roman" w:eastAsia="Times New Roman" w:hAnsi="Times New Roman" w:cs="Times New Roman"/>
                <w:sz w:val="24"/>
                <w:szCs w:val="24"/>
              </w:rPr>
            </w:pPr>
            <w:r w:rsidRPr="00B4640E">
              <w:rPr>
                <w:rFonts w:ascii="Times New Roman" w:eastAsia="Times New Roman" w:hAnsi="Times New Roman" w:cs="Times New Roman"/>
                <w:sz w:val="24"/>
                <w:szCs w:val="24"/>
              </w:rPr>
              <w:t>divus projekta iesniegumus, katrā paredzot citu vērtspapīru veidu, var iesniegt vienlaicīgi (vienas projektu iesniegumu atlases kārtas ietvaros), taču vēršam uzmanību, ka biznesa plānam ir skaidri jāatspoguļo, jāpamato, kādēļ uzņēmumam nepieciešama un kā plānota sekmīga finansējuma piesaiste, izmantojot abus vērtspapīru veidus, kā arī ir tādi vērtēšanas kritēriji, kas tiks vērtēti abiem projektiem kopsakarā, piemēram, attiecībā uz finanšu kapacitāti – vai pretendentam ir pietiekami līdzekļu, lai finansētu abus projektus.</w:t>
            </w:r>
          </w:p>
        </w:tc>
      </w:tr>
      <w:tr w:rsidR="00BA349A" w:rsidRPr="00AF2308" w14:paraId="0FD336AF" w14:textId="77777777" w:rsidTr="00BA349A">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462964" w14:textId="77777777" w:rsidR="00BA349A" w:rsidRDefault="00BA349A" w:rsidP="00B4640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8.jautājums:</w:t>
            </w:r>
          </w:p>
          <w:p w14:paraId="22D90094" w14:textId="77777777" w:rsidR="00BA349A" w:rsidRDefault="00BA349A" w:rsidP="00B4640E">
            <w:pPr>
              <w:spacing w:line="276" w:lineRule="auto"/>
              <w:contextualSpacing/>
              <w:jc w:val="both"/>
              <w:rPr>
                <w:rFonts w:ascii="Times New Roman" w:eastAsia="Times New Roman" w:hAnsi="Times New Roman" w:cs="Times New Roman"/>
                <w:sz w:val="24"/>
                <w:szCs w:val="24"/>
                <w:lang w:eastAsia="lv-LV"/>
              </w:rPr>
            </w:pPr>
          </w:p>
          <w:p w14:paraId="26F4CBDD" w14:textId="54248CBD" w:rsidR="00BA349A" w:rsidRPr="00BA349A" w:rsidRDefault="00420282" w:rsidP="00BA349A">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Pastāv iespēja, ka</w:t>
            </w:r>
            <w:r w:rsidR="00BA349A" w:rsidRPr="00BA34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w:t>
            </w:r>
            <w:r w:rsidR="00BA349A" w:rsidRPr="00BA349A">
              <w:rPr>
                <w:rFonts w:ascii="Times New Roman" w:eastAsia="Times New Roman" w:hAnsi="Times New Roman" w:cs="Times New Roman"/>
                <w:sz w:val="24"/>
                <w:szCs w:val="24"/>
                <w:lang w:eastAsia="lv-LV"/>
              </w:rPr>
              <w:t>paspēsim uz pirmo projektu</w:t>
            </w:r>
            <w:r>
              <w:rPr>
                <w:rFonts w:ascii="Times New Roman" w:eastAsia="Times New Roman" w:hAnsi="Times New Roman" w:cs="Times New Roman"/>
                <w:sz w:val="24"/>
                <w:szCs w:val="24"/>
                <w:lang w:eastAsia="lv-LV"/>
              </w:rPr>
              <w:t xml:space="preserve"> ie</w:t>
            </w:r>
            <w:r w:rsidR="00CA7D5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niegumu</w:t>
            </w:r>
            <w:r w:rsidR="00BA349A" w:rsidRPr="00BA349A">
              <w:rPr>
                <w:rFonts w:ascii="Times New Roman" w:eastAsia="Times New Roman" w:hAnsi="Times New Roman" w:cs="Times New Roman"/>
                <w:sz w:val="24"/>
                <w:szCs w:val="24"/>
                <w:lang w:eastAsia="lv-LV"/>
              </w:rPr>
              <w:t xml:space="preserve"> iesniegšanas termiņu </w:t>
            </w:r>
            <w:r>
              <w:rPr>
                <w:rFonts w:ascii="Times New Roman" w:eastAsia="Times New Roman" w:hAnsi="Times New Roman" w:cs="Times New Roman"/>
                <w:sz w:val="24"/>
                <w:szCs w:val="24"/>
                <w:lang w:eastAsia="lv-LV"/>
              </w:rPr>
              <w:t>-</w:t>
            </w:r>
            <w:r w:rsidR="00BA349A" w:rsidRPr="00BA349A">
              <w:rPr>
                <w:rFonts w:ascii="Times New Roman" w:eastAsia="Times New Roman" w:hAnsi="Times New Roman" w:cs="Times New Roman"/>
                <w:sz w:val="24"/>
                <w:szCs w:val="24"/>
                <w:lang w:eastAsia="lv-LV"/>
              </w:rPr>
              <w:t xml:space="preserve"> 5. septembri, tādēļ vēlos jautāt, vai:</w:t>
            </w:r>
          </w:p>
          <w:p w14:paraId="183DB76D" w14:textId="77777777" w:rsidR="00BA349A" w:rsidRPr="00BA349A" w:rsidRDefault="00BA349A" w:rsidP="00BA349A">
            <w:pPr>
              <w:spacing w:line="276" w:lineRule="auto"/>
              <w:contextualSpacing/>
              <w:jc w:val="both"/>
              <w:rPr>
                <w:rFonts w:ascii="Times New Roman" w:eastAsia="Times New Roman" w:hAnsi="Times New Roman" w:cs="Times New Roman"/>
                <w:sz w:val="24"/>
                <w:szCs w:val="24"/>
                <w:lang w:eastAsia="lv-LV"/>
              </w:rPr>
            </w:pPr>
            <w:r w:rsidRPr="00BA349A">
              <w:rPr>
                <w:rFonts w:ascii="Times New Roman" w:eastAsia="Times New Roman" w:hAnsi="Times New Roman" w:cs="Times New Roman"/>
                <w:sz w:val="24"/>
                <w:szCs w:val="24"/>
                <w:lang w:eastAsia="lv-LV"/>
              </w:rPr>
              <w:t>•</w:t>
            </w:r>
            <w:r w:rsidRPr="00BA349A">
              <w:rPr>
                <w:rFonts w:ascii="Times New Roman" w:eastAsia="Times New Roman" w:hAnsi="Times New Roman" w:cs="Times New Roman"/>
                <w:sz w:val="24"/>
                <w:szCs w:val="24"/>
                <w:lang w:eastAsia="lv-LV"/>
              </w:rPr>
              <w:tab/>
              <w:t>termiņš varbūt tiks pagarināts?</w:t>
            </w:r>
          </w:p>
          <w:p w14:paraId="12B297C8" w14:textId="77777777" w:rsidR="00BA349A" w:rsidRPr="00BA349A" w:rsidRDefault="00BA349A" w:rsidP="00BA349A">
            <w:pPr>
              <w:spacing w:line="276" w:lineRule="auto"/>
              <w:contextualSpacing/>
              <w:jc w:val="both"/>
              <w:rPr>
                <w:rFonts w:ascii="Times New Roman" w:eastAsia="Times New Roman" w:hAnsi="Times New Roman" w:cs="Times New Roman"/>
                <w:sz w:val="24"/>
                <w:szCs w:val="24"/>
                <w:lang w:eastAsia="lv-LV"/>
              </w:rPr>
            </w:pPr>
            <w:r w:rsidRPr="00BA349A">
              <w:rPr>
                <w:rFonts w:ascii="Times New Roman" w:eastAsia="Times New Roman" w:hAnsi="Times New Roman" w:cs="Times New Roman"/>
                <w:sz w:val="24"/>
                <w:szCs w:val="24"/>
                <w:lang w:eastAsia="lv-LV"/>
              </w:rPr>
              <w:t>•</w:t>
            </w:r>
            <w:r w:rsidRPr="00BA349A">
              <w:rPr>
                <w:rFonts w:ascii="Times New Roman" w:eastAsia="Times New Roman" w:hAnsi="Times New Roman" w:cs="Times New Roman"/>
                <w:sz w:val="24"/>
                <w:szCs w:val="24"/>
                <w:lang w:eastAsia="lv-LV"/>
              </w:rPr>
              <w:tab/>
              <w:t xml:space="preserve">kad tiek plānota jauna atlases kārta? </w:t>
            </w:r>
          </w:p>
          <w:p w14:paraId="68759C8F" w14:textId="77777777" w:rsidR="00BA349A" w:rsidRPr="00BA349A" w:rsidRDefault="00BA349A" w:rsidP="00BA349A">
            <w:pPr>
              <w:spacing w:line="276" w:lineRule="auto"/>
              <w:contextualSpacing/>
              <w:jc w:val="both"/>
              <w:rPr>
                <w:rFonts w:ascii="Times New Roman" w:eastAsia="Times New Roman" w:hAnsi="Times New Roman" w:cs="Times New Roman"/>
                <w:sz w:val="24"/>
                <w:szCs w:val="24"/>
                <w:lang w:eastAsia="lv-LV"/>
              </w:rPr>
            </w:pPr>
          </w:p>
          <w:p w14:paraId="0304100A" w14:textId="313F121B" w:rsidR="00BA349A" w:rsidRPr="00BA349A" w:rsidRDefault="00BA349A" w:rsidP="00BA349A">
            <w:pPr>
              <w:spacing w:line="276" w:lineRule="auto"/>
              <w:contextualSpacing/>
              <w:jc w:val="both"/>
              <w:rPr>
                <w:rFonts w:ascii="Times New Roman" w:eastAsia="Times New Roman" w:hAnsi="Times New Roman" w:cs="Times New Roman"/>
                <w:sz w:val="24"/>
                <w:szCs w:val="24"/>
                <w:lang w:eastAsia="lv-LV"/>
              </w:rPr>
            </w:pPr>
            <w:r w:rsidRPr="00BA349A">
              <w:rPr>
                <w:rFonts w:ascii="Times New Roman" w:eastAsia="Times New Roman" w:hAnsi="Times New Roman" w:cs="Times New Roman"/>
                <w:sz w:val="24"/>
                <w:szCs w:val="24"/>
                <w:lang w:eastAsia="lv-LV"/>
              </w:rPr>
              <w:t>Lasot nolikumu radās arī viens papildus jautājums – ja uzņēmums plāno emitēt pirmo obligāciju emisiju šogad, bet neiekļaut šīs obligācijas Biržā. Šī gada laikā uzņēmums veiktu Big4 auditu, pārietu uz IFRS grāmatv</w:t>
            </w:r>
            <w:r w:rsidR="00420282">
              <w:rPr>
                <w:rFonts w:ascii="Times New Roman" w:eastAsia="Times New Roman" w:hAnsi="Times New Roman" w:cs="Times New Roman"/>
                <w:sz w:val="24"/>
                <w:szCs w:val="24"/>
                <w:lang w:eastAsia="lv-LV"/>
              </w:rPr>
              <w:t>edības</w:t>
            </w:r>
            <w:r w:rsidRPr="00BA349A">
              <w:rPr>
                <w:rFonts w:ascii="Times New Roman" w:eastAsia="Times New Roman" w:hAnsi="Times New Roman" w:cs="Times New Roman"/>
                <w:sz w:val="24"/>
                <w:szCs w:val="24"/>
                <w:lang w:eastAsia="lv-LV"/>
              </w:rPr>
              <w:t xml:space="preserve"> standartiem, pilnveidotu savu </w:t>
            </w:r>
            <w:proofErr w:type="spellStart"/>
            <w:r w:rsidRPr="00BA349A">
              <w:rPr>
                <w:rFonts w:ascii="Times New Roman" w:eastAsia="Times New Roman" w:hAnsi="Times New Roman" w:cs="Times New Roman"/>
                <w:sz w:val="24"/>
                <w:szCs w:val="24"/>
                <w:lang w:eastAsia="lv-LV"/>
              </w:rPr>
              <w:t>korp</w:t>
            </w:r>
            <w:proofErr w:type="spellEnd"/>
            <w:r w:rsidRPr="00BA349A">
              <w:rPr>
                <w:rFonts w:ascii="Times New Roman" w:eastAsia="Times New Roman" w:hAnsi="Times New Roman" w:cs="Times New Roman"/>
                <w:sz w:val="24"/>
                <w:szCs w:val="24"/>
                <w:lang w:eastAsia="lv-LV"/>
              </w:rPr>
              <w:t xml:space="preserve">. pārvaldību un refinansētu pirmās obligācijas ar jaunu obligāciju emisijas laidienu, kuram jau būtu plašāks investoru loks, un tikai tad tās iekļautu Biržā. Divu gadu nosacījums pēc līguma noslēgšanas tiktu izpildīts, tomēr Biržā tiktu iekļauta 2. obligāciju emisija. </w:t>
            </w:r>
          </w:p>
          <w:p w14:paraId="4DE80D4C" w14:textId="77777777" w:rsidR="00BA349A" w:rsidRPr="00BA349A" w:rsidRDefault="00BA349A" w:rsidP="00BA349A">
            <w:pPr>
              <w:spacing w:line="276" w:lineRule="auto"/>
              <w:contextualSpacing/>
              <w:jc w:val="both"/>
              <w:rPr>
                <w:rFonts w:ascii="Times New Roman" w:eastAsia="Times New Roman" w:hAnsi="Times New Roman" w:cs="Times New Roman"/>
                <w:sz w:val="24"/>
                <w:szCs w:val="24"/>
                <w:lang w:eastAsia="lv-LV"/>
              </w:rPr>
            </w:pPr>
          </w:p>
          <w:p w14:paraId="0204DE5D" w14:textId="5A530942" w:rsidR="00BA349A" w:rsidRPr="00B4640E" w:rsidRDefault="00BA349A" w:rsidP="00BA349A">
            <w:pPr>
              <w:spacing w:line="276" w:lineRule="auto"/>
              <w:contextualSpacing/>
              <w:jc w:val="both"/>
              <w:rPr>
                <w:rFonts w:ascii="Times New Roman" w:eastAsia="Times New Roman" w:hAnsi="Times New Roman" w:cs="Times New Roman"/>
                <w:sz w:val="24"/>
                <w:szCs w:val="24"/>
                <w:lang w:eastAsia="lv-LV"/>
              </w:rPr>
            </w:pPr>
            <w:r w:rsidRPr="00BA349A">
              <w:rPr>
                <w:rFonts w:ascii="Times New Roman" w:eastAsia="Times New Roman" w:hAnsi="Times New Roman" w:cs="Times New Roman"/>
                <w:sz w:val="24"/>
                <w:szCs w:val="24"/>
                <w:lang w:eastAsia="lv-LV"/>
              </w:rPr>
              <w:t>Vai šāds projekts kvalificētos atbalstam?</w:t>
            </w:r>
          </w:p>
        </w:tc>
      </w:tr>
      <w:tr w:rsidR="00BA349A" w:rsidRPr="00AF2308" w14:paraId="610A12E7" w14:textId="77777777" w:rsidTr="00B4640E">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D5056B4" w14:textId="35C8B839" w:rsidR="00BA349A" w:rsidRDefault="00BA349A" w:rsidP="00BA349A">
            <w:pPr>
              <w:spacing w:line="276" w:lineRule="auto"/>
              <w:contextualSpacing/>
              <w:jc w:val="both"/>
              <w:rPr>
                <w:rFonts w:ascii="Times New Roman" w:eastAsia="Times New Roman" w:hAnsi="Times New Roman" w:cs="Times New Roman"/>
                <w:sz w:val="24"/>
                <w:szCs w:val="24"/>
                <w:lang w:eastAsia="lv-LV"/>
              </w:rPr>
            </w:pPr>
            <w:r w:rsidRPr="00BA349A">
              <w:rPr>
                <w:rFonts w:ascii="Times New Roman" w:eastAsia="Times New Roman" w:hAnsi="Times New Roman" w:cs="Times New Roman"/>
                <w:sz w:val="24"/>
                <w:szCs w:val="24"/>
                <w:lang w:eastAsia="lv-LV"/>
              </w:rPr>
              <w:t>Atbilde uz 8.jautājumu:</w:t>
            </w:r>
          </w:p>
          <w:p w14:paraId="705040D0" w14:textId="77777777" w:rsidR="00420282" w:rsidRPr="00BA349A" w:rsidRDefault="00420282" w:rsidP="00BA349A">
            <w:pPr>
              <w:spacing w:line="276" w:lineRule="auto"/>
              <w:contextualSpacing/>
              <w:jc w:val="both"/>
              <w:rPr>
                <w:rFonts w:ascii="Times New Roman" w:eastAsia="Times New Roman" w:hAnsi="Times New Roman" w:cs="Times New Roman"/>
                <w:sz w:val="24"/>
                <w:szCs w:val="24"/>
                <w:lang w:eastAsia="lv-LV"/>
              </w:rPr>
            </w:pPr>
          </w:p>
          <w:p w14:paraId="5C27733A" w14:textId="77777777" w:rsidR="00BA349A" w:rsidRPr="00BA349A" w:rsidRDefault="00BA349A" w:rsidP="00BA349A">
            <w:pPr>
              <w:spacing w:line="276" w:lineRule="auto"/>
              <w:jc w:val="both"/>
              <w:rPr>
                <w:rFonts w:ascii="Times New Roman" w:eastAsia="Calibri" w:hAnsi="Times New Roman" w:cs="Times New Roman"/>
                <w:sz w:val="24"/>
                <w:szCs w:val="24"/>
              </w:rPr>
            </w:pPr>
            <w:r w:rsidRPr="00BA349A">
              <w:rPr>
                <w:rFonts w:ascii="Times New Roman" w:eastAsia="Calibri" w:hAnsi="Times New Roman" w:cs="Times New Roman"/>
                <w:sz w:val="24"/>
                <w:szCs w:val="24"/>
              </w:rPr>
              <w:t xml:space="preserve">Projektu iesniegumu atlases termiņu pašlaik nav plānots pagarināt, taču saskaņā ar </w:t>
            </w:r>
            <w:hyperlink r:id="rId18" w:history="1">
              <w:r w:rsidRPr="00BA349A">
                <w:rPr>
                  <w:rFonts w:ascii="Times New Roman" w:eastAsia="Calibri" w:hAnsi="Times New Roman" w:cs="Times New Roman"/>
                  <w:color w:val="0563C1"/>
                  <w:sz w:val="24"/>
                  <w:szCs w:val="24"/>
                  <w:u w:val="single"/>
                </w:rPr>
                <w:t>MK noteikumu</w:t>
              </w:r>
            </w:hyperlink>
            <w:r w:rsidRPr="00BA349A">
              <w:rPr>
                <w:rFonts w:ascii="Times New Roman" w:eastAsia="Calibri" w:hAnsi="Times New Roman" w:cs="Times New Roman"/>
                <w:sz w:val="24"/>
                <w:szCs w:val="24"/>
              </w:rPr>
              <w:t xml:space="preserve"> anotāciju CFLA organizēs projektu iesniegumu atlases vismaz reizi ceturksnī līdz brīdim, kad tiks nokontraktēts viss </w:t>
            </w:r>
            <w:r w:rsidRPr="00BA349A">
              <w:rPr>
                <w:rFonts w:ascii="Times New Roman" w:eastAsia="Calibri" w:hAnsi="Times New Roman" w:cs="Times New Roman"/>
                <w:sz w:val="24"/>
                <w:szCs w:val="24"/>
              </w:rPr>
              <w:lastRenderedPageBreak/>
              <w:t>3.1.1.3. pasākumā pieejamais finansējums. Tātad nākamā atlases kārta varētu tikt izsludināta indikatīvi 2020.gada novembrī.</w:t>
            </w:r>
          </w:p>
          <w:p w14:paraId="707C52F5" w14:textId="77777777" w:rsidR="00BA349A" w:rsidRPr="00BA349A" w:rsidRDefault="00BA349A" w:rsidP="00BA349A">
            <w:pPr>
              <w:spacing w:line="276" w:lineRule="auto"/>
              <w:jc w:val="both"/>
              <w:rPr>
                <w:rFonts w:ascii="Times New Roman" w:eastAsia="Calibri" w:hAnsi="Times New Roman" w:cs="Times New Roman"/>
                <w:sz w:val="24"/>
                <w:szCs w:val="24"/>
              </w:rPr>
            </w:pPr>
          </w:p>
          <w:p w14:paraId="0FA5A726" w14:textId="219AAC49" w:rsidR="00BA349A" w:rsidRPr="00BA349A" w:rsidRDefault="00BA349A" w:rsidP="00BA349A">
            <w:pPr>
              <w:spacing w:line="276" w:lineRule="auto"/>
              <w:jc w:val="both"/>
              <w:rPr>
                <w:rFonts w:ascii="Times New Roman" w:eastAsia="Calibri" w:hAnsi="Times New Roman" w:cs="Times New Roman"/>
                <w:sz w:val="24"/>
                <w:szCs w:val="24"/>
              </w:rPr>
            </w:pPr>
            <w:r w:rsidRPr="00BA349A">
              <w:rPr>
                <w:rFonts w:ascii="Times New Roman" w:eastAsia="Calibri" w:hAnsi="Times New Roman" w:cs="Times New Roman"/>
                <w:sz w:val="24"/>
                <w:szCs w:val="24"/>
              </w:rPr>
              <w:t>Raksturotā obligāciju emisijas kārtība pēc būtības būtu atbalstāma, taču nepieciešams nodrošināt, ka izpildās nosacījumi par divu gadu periodu, t.i. atbilstoši MK noteikumu 16. punktam parāda vērtspapīru iekļaušana tirdzniecības vietā ir atbalstāma, ja tā notiek ne vēlāk kā divu gadu laikā no civiltiesiskā līguma par projekta īstenošanu noslēgšanas.</w:t>
            </w:r>
          </w:p>
        </w:tc>
      </w:tr>
      <w:tr w:rsidR="00467144" w:rsidRPr="00AF2308" w14:paraId="7DE46313" w14:textId="77777777" w:rsidTr="00467144">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FEED64" w14:textId="77777777" w:rsidR="00467144" w:rsidRDefault="00467144" w:rsidP="00BA349A">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9.jautājums:</w:t>
            </w:r>
          </w:p>
          <w:p w14:paraId="0373F207" w14:textId="77777777" w:rsidR="00467144" w:rsidRDefault="00467144" w:rsidP="00BA349A">
            <w:pPr>
              <w:spacing w:line="276" w:lineRule="auto"/>
              <w:contextualSpacing/>
              <w:jc w:val="both"/>
              <w:rPr>
                <w:rFonts w:ascii="Times New Roman" w:eastAsia="Times New Roman" w:hAnsi="Times New Roman" w:cs="Times New Roman"/>
                <w:sz w:val="24"/>
                <w:szCs w:val="24"/>
                <w:lang w:eastAsia="lv-LV"/>
              </w:rPr>
            </w:pPr>
          </w:p>
          <w:p w14:paraId="02FA212E" w14:textId="2443585A" w:rsidR="00467144" w:rsidRPr="00467144" w:rsidRDefault="00467144" w:rsidP="00467144">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v</w:t>
            </w:r>
            <w:r w:rsidRPr="00467144">
              <w:rPr>
                <w:rFonts w:ascii="Times New Roman" w:eastAsia="Times New Roman" w:hAnsi="Times New Roman" w:cs="Times New Roman"/>
                <w:sz w:val="24"/>
                <w:szCs w:val="24"/>
                <w:lang w:eastAsia="lv-LV"/>
              </w:rPr>
              <w:t>ai uz projekta pieteikuma iesniegšanas brīdi ir nepieciešams, lai jau noteikti ir noslēgts līgums ar emisijas organizētāj</w:t>
            </w:r>
            <w:r>
              <w:rPr>
                <w:rFonts w:ascii="Times New Roman" w:eastAsia="Times New Roman" w:hAnsi="Times New Roman" w:cs="Times New Roman"/>
                <w:sz w:val="24"/>
                <w:szCs w:val="24"/>
                <w:lang w:eastAsia="lv-LV"/>
              </w:rPr>
              <w:t>u</w:t>
            </w:r>
            <w:r w:rsidRPr="00467144">
              <w:rPr>
                <w:rFonts w:ascii="Times New Roman" w:eastAsia="Times New Roman" w:hAnsi="Times New Roman" w:cs="Times New Roman"/>
                <w:sz w:val="24"/>
                <w:szCs w:val="24"/>
                <w:lang w:eastAsia="lv-LV"/>
              </w:rPr>
              <w:t xml:space="preserve"> vai pietiek, ka ir nodomu vienošanās ar emisijas organizētāju?</w:t>
            </w:r>
          </w:p>
          <w:p w14:paraId="50D782D4" w14:textId="1BB32F7D" w:rsidR="00467144" w:rsidRPr="00467144" w:rsidRDefault="00467144" w:rsidP="00467144">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 k</w:t>
            </w:r>
            <w:r w:rsidRPr="00467144">
              <w:rPr>
                <w:rFonts w:ascii="Times New Roman" w:eastAsia="Times New Roman" w:hAnsi="Times New Roman" w:cs="Times New Roman"/>
                <w:sz w:val="24"/>
                <w:szCs w:val="24"/>
                <w:lang w:eastAsia="lv-LV"/>
              </w:rPr>
              <w:t>āda veida cenu aptaujām ir jābūt veiktām (par kādiem pakalpojumiem)? Vai jābūt izvēlētiem jau konkrētiem pakalpojuma sniedzējiem - norādot jau uzņēmumu?</w:t>
            </w:r>
          </w:p>
          <w:p w14:paraId="2B4B2C04" w14:textId="27A9B910" w:rsidR="00467144" w:rsidRPr="00BA349A" w:rsidRDefault="00467144" w:rsidP="00467144">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 v</w:t>
            </w:r>
            <w:r w:rsidRPr="00467144">
              <w:rPr>
                <w:rFonts w:ascii="Times New Roman" w:eastAsia="Times New Roman" w:hAnsi="Times New Roman" w:cs="Times New Roman"/>
                <w:sz w:val="24"/>
                <w:szCs w:val="24"/>
                <w:lang w:eastAsia="lv-LV"/>
              </w:rPr>
              <w:t xml:space="preserve">ai 500.000 </w:t>
            </w:r>
            <w:proofErr w:type="spellStart"/>
            <w:r>
              <w:rPr>
                <w:rFonts w:ascii="Times New Roman" w:eastAsia="Times New Roman" w:hAnsi="Times New Roman" w:cs="Times New Roman"/>
                <w:sz w:val="24"/>
                <w:szCs w:val="24"/>
                <w:lang w:eastAsia="lv-LV"/>
              </w:rPr>
              <w:t>euro</w:t>
            </w:r>
            <w:proofErr w:type="spellEnd"/>
            <w:r w:rsidRPr="00467144">
              <w:rPr>
                <w:rFonts w:ascii="Times New Roman" w:eastAsia="Times New Roman" w:hAnsi="Times New Roman" w:cs="Times New Roman"/>
                <w:sz w:val="24"/>
                <w:szCs w:val="24"/>
                <w:lang w:eastAsia="lv-LV"/>
              </w:rPr>
              <w:t xml:space="preserve"> emitēšana ir obligāti jaunas naudas piesaistīšana? vai tā var būt esošo dalībnieku daļu izlikšana tirgū (netiek piesaistīta jauna nauda)?</w:t>
            </w:r>
          </w:p>
        </w:tc>
      </w:tr>
      <w:tr w:rsidR="00467144" w:rsidRPr="00AF2308" w14:paraId="6BE3621C" w14:textId="77777777" w:rsidTr="00467144">
        <w:tc>
          <w:tcPr>
            <w:tcW w:w="10461" w:type="dxa"/>
            <w:tcBorders>
              <w:top w:val="single" w:sz="4" w:space="0" w:color="auto"/>
              <w:left w:val="single" w:sz="4" w:space="0" w:color="auto"/>
              <w:bottom w:val="single" w:sz="4" w:space="0" w:color="auto"/>
              <w:right w:val="single" w:sz="4" w:space="0" w:color="auto"/>
            </w:tcBorders>
            <w:shd w:val="clear" w:color="auto" w:fill="auto"/>
          </w:tcPr>
          <w:p w14:paraId="1B846D0D" w14:textId="6C1D2F36" w:rsidR="00467144" w:rsidRPr="00467144" w:rsidRDefault="00467144" w:rsidP="00467144">
            <w:pPr>
              <w:jc w:val="both"/>
              <w:rPr>
                <w:rFonts w:ascii="Times New Roman" w:eastAsia="Calibri" w:hAnsi="Times New Roman" w:cs="Times New Roman"/>
                <w:bCs/>
                <w:sz w:val="24"/>
                <w:szCs w:val="24"/>
                <w:lang w:eastAsia="lv-LV"/>
              </w:rPr>
            </w:pPr>
            <w:r w:rsidRPr="00467144">
              <w:rPr>
                <w:rFonts w:ascii="Times New Roman" w:eastAsia="Calibri" w:hAnsi="Times New Roman" w:cs="Times New Roman"/>
                <w:bCs/>
                <w:sz w:val="24"/>
                <w:szCs w:val="24"/>
                <w:lang w:eastAsia="lv-LV"/>
              </w:rPr>
              <w:t>Atbilde uz 9.jautājumu:</w:t>
            </w:r>
          </w:p>
          <w:p w14:paraId="51297A6B" w14:textId="77777777" w:rsidR="00467144" w:rsidRDefault="00467144" w:rsidP="00467144">
            <w:pPr>
              <w:jc w:val="both"/>
              <w:rPr>
                <w:rFonts w:ascii="Times New Roman" w:eastAsia="Calibri" w:hAnsi="Times New Roman" w:cs="Times New Roman"/>
                <w:b/>
                <w:bCs/>
                <w:sz w:val="24"/>
                <w:szCs w:val="24"/>
                <w:lang w:eastAsia="lv-LV"/>
              </w:rPr>
            </w:pPr>
          </w:p>
          <w:p w14:paraId="5A08E1FF" w14:textId="0DDC9538" w:rsidR="00467144" w:rsidRPr="00467144" w:rsidRDefault="00467144" w:rsidP="00467144">
            <w:pPr>
              <w:jc w:val="both"/>
              <w:rPr>
                <w:rFonts w:ascii="Times New Roman" w:eastAsia="Calibri" w:hAnsi="Times New Roman" w:cs="Times New Roman"/>
                <w:sz w:val="24"/>
                <w:szCs w:val="24"/>
                <w:lang w:eastAsia="lv-LV"/>
              </w:rPr>
            </w:pPr>
            <w:r>
              <w:rPr>
                <w:rFonts w:ascii="Times New Roman" w:eastAsia="Calibri" w:hAnsi="Times New Roman" w:cs="Times New Roman"/>
                <w:bCs/>
                <w:sz w:val="24"/>
                <w:szCs w:val="24"/>
                <w:lang w:eastAsia="lv-LV"/>
              </w:rPr>
              <w:t>Par</w:t>
            </w:r>
            <w:r w:rsidRPr="00467144">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a)</w:t>
            </w:r>
            <w:r w:rsidRPr="00467144">
              <w:rPr>
                <w:rFonts w:ascii="Times New Roman" w:eastAsia="Calibri" w:hAnsi="Times New Roman" w:cs="Times New Roman"/>
                <w:bCs/>
                <w:sz w:val="24"/>
                <w:szCs w:val="24"/>
                <w:lang w:eastAsia="lv-LV"/>
              </w:rPr>
              <w:t xml:space="preserve"> un </w:t>
            </w:r>
            <w:r>
              <w:rPr>
                <w:rFonts w:ascii="Times New Roman" w:eastAsia="Calibri" w:hAnsi="Times New Roman" w:cs="Times New Roman"/>
                <w:bCs/>
                <w:sz w:val="24"/>
                <w:szCs w:val="24"/>
                <w:lang w:eastAsia="lv-LV"/>
              </w:rPr>
              <w:t>b)</w:t>
            </w:r>
            <w:r w:rsidRPr="00467144">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punktu</w:t>
            </w:r>
            <w:r w:rsidRPr="00467144">
              <w:rPr>
                <w:rFonts w:ascii="Times New Roman" w:eastAsia="Calibri" w:hAnsi="Times New Roman" w:cs="Times New Roman"/>
                <w:bCs/>
                <w:sz w:val="24"/>
                <w:szCs w:val="24"/>
                <w:lang w:eastAsia="lv-LV"/>
              </w:rPr>
              <w:t>:</w:t>
            </w:r>
          </w:p>
          <w:p w14:paraId="21D2DCFD" w14:textId="77777777" w:rsidR="00467144" w:rsidRPr="00467144" w:rsidRDefault="00467144" w:rsidP="00467144">
            <w:pPr>
              <w:jc w:val="both"/>
              <w:rPr>
                <w:rFonts w:ascii="Times New Roman" w:eastAsia="Calibri" w:hAnsi="Times New Roman" w:cs="Times New Roman"/>
                <w:sz w:val="24"/>
                <w:szCs w:val="24"/>
                <w:lang w:eastAsia="lv-LV"/>
              </w:rPr>
            </w:pPr>
            <w:r w:rsidRPr="00467144">
              <w:rPr>
                <w:rFonts w:ascii="Times New Roman" w:eastAsia="Calibri" w:hAnsi="Times New Roman" w:cs="Times New Roman"/>
                <w:sz w:val="24"/>
                <w:szCs w:val="24"/>
                <w:lang w:eastAsia="lv-LV"/>
              </w:rPr>
              <w:t xml:space="preserve">Saskaņā ar </w:t>
            </w:r>
            <w:hyperlink r:id="rId19" w:history="1">
              <w:r w:rsidRPr="00467144">
                <w:rPr>
                  <w:rFonts w:ascii="Times New Roman" w:eastAsia="Calibri" w:hAnsi="Times New Roman" w:cs="Times New Roman"/>
                  <w:color w:val="0563C1"/>
                  <w:sz w:val="24"/>
                  <w:szCs w:val="24"/>
                  <w:u w:val="single"/>
                  <w:lang w:eastAsia="lv-LV"/>
                </w:rPr>
                <w:t>projektu iesniegumu atlases nolikuma</w:t>
              </w:r>
            </w:hyperlink>
            <w:r w:rsidRPr="00467144">
              <w:rPr>
                <w:rFonts w:ascii="Times New Roman" w:eastAsia="Calibri" w:hAnsi="Times New Roman" w:cs="Times New Roman"/>
                <w:sz w:val="24"/>
                <w:szCs w:val="24"/>
                <w:lang w:eastAsia="lv-LV"/>
              </w:rPr>
              <w:t xml:space="preserve"> 11.8. apakšpunktu projekta gatavību var apliecināt divos veidos:</w:t>
            </w:r>
          </w:p>
          <w:p w14:paraId="31749839" w14:textId="77777777" w:rsidR="00467144" w:rsidRPr="00467144" w:rsidRDefault="00467144" w:rsidP="00467144">
            <w:pPr>
              <w:numPr>
                <w:ilvl w:val="0"/>
                <w:numId w:val="21"/>
              </w:numPr>
              <w:jc w:val="both"/>
              <w:rPr>
                <w:rFonts w:ascii="Times New Roman" w:eastAsia="Times New Roman" w:hAnsi="Times New Roman" w:cs="Times New Roman"/>
                <w:sz w:val="24"/>
                <w:szCs w:val="24"/>
                <w:lang w:eastAsia="lv-LV"/>
              </w:rPr>
            </w:pPr>
            <w:r w:rsidRPr="00467144">
              <w:rPr>
                <w:rFonts w:ascii="Times New Roman" w:eastAsia="Times New Roman" w:hAnsi="Times New Roman" w:cs="Times New Roman"/>
                <w:sz w:val="24"/>
                <w:szCs w:val="24"/>
                <w:lang w:eastAsia="lv-LV"/>
              </w:rPr>
              <w:t xml:space="preserve">augsta gatavība – iesniedzot dokumentāciju, kas apliecina veikto iepirkumu, ja iepirkuma paredzamā summa ir virs 70 000 </w:t>
            </w:r>
            <w:proofErr w:type="spellStart"/>
            <w:r w:rsidRPr="00467144">
              <w:rPr>
                <w:rFonts w:ascii="Times New Roman" w:eastAsia="Times New Roman" w:hAnsi="Times New Roman" w:cs="Times New Roman"/>
                <w:i/>
                <w:iCs/>
                <w:sz w:val="24"/>
                <w:szCs w:val="24"/>
                <w:lang w:eastAsia="lv-LV"/>
              </w:rPr>
              <w:t>euro</w:t>
            </w:r>
            <w:proofErr w:type="spellEnd"/>
            <w:r w:rsidRPr="00467144">
              <w:rPr>
                <w:rFonts w:ascii="Times New Roman" w:eastAsia="Times New Roman" w:hAnsi="Times New Roman" w:cs="Times New Roman"/>
                <w:sz w:val="24"/>
                <w:szCs w:val="24"/>
                <w:lang w:eastAsia="lv-LV"/>
              </w:rPr>
              <w:t xml:space="preserve">, vai veikto cenu aptauju, ja iepirkuma paredzamā cena ir mazāka par 70 000 </w:t>
            </w:r>
            <w:proofErr w:type="spellStart"/>
            <w:r w:rsidRPr="00467144">
              <w:rPr>
                <w:rFonts w:ascii="Times New Roman" w:eastAsia="Times New Roman" w:hAnsi="Times New Roman" w:cs="Times New Roman"/>
                <w:i/>
                <w:iCs/>
                <w:sz w:val="24"/>
                <w:szCs w:val="24"/>
                <w:lang w:eastAsia="lv-LV"/>
              </w:rPr>
              <w:t>euro</w:t>
            </w:r>
            <w:proofErr w:type="spellEnd"/>
            <w:r w:rsidRPr="00467144">
              <w:rPr>
                <w:rFonts w:ascii="Times New Roman" w:eastAsia="Times New Roman" w:hAnsi="Times New Roman" w:cs="Times New Roman"/>
                <w:sz w:val="24"/>
                <w:szCs w:val="24"/>
                <w:lang w:eastAsia="lv-LV"/>
              </w:rPr>
              <w:t xml:space="preserve">, par emisijas organizētāja pakalpojumu nodrošināšanu, tai skaitā, noslēgtu līgumu ar emisijas organizētāju par MK noteikumu 17.1., 17.2. un/vai 17.3 apakšpunktā minēto darbību īstenošanu </w:t>
            </w:r>
            <w:r w:rsidRPr="00467144">
              <w:rPr>
                <w:rFonts w:ascii="Times New Roman" w:eastAsia="Times New Roman" w:hAnsi="Times New Roman" w:cs="Times New Roman"/>
                <w:sz w:val="24"/>
                <w:szCs w:val="24"/>
                <w:u w:val="single"/>
                <w:lang w:eastAsia="lv-LV"/>
              </w:rPr>
              <w:t>(attiecināms, ja iepirkums/ cenu aptauja ir veikta)</w:t>
            </w:r>
            <w:r w:rsidRPr="00467144">
              <w:rPr>
                <w:rFonts w:ascii="Times New Roman" w:eastAsia="Times New Roman" w:hAnsi="Times New Roman" w:cs="Times New Roman"/>
                <w:sz w:val="24"/>
                <w:szCs w:val="24"/>
                <w:lang w:eastAsia="lv-LV"/>
              </w:rPr>
              <w:t>,</w:t>
            </w:r>
          </w:p>
          <w:p w14:paraId="61009307" w14:textId="77777777" w:rsidR="00467144" w:rsidRPr="00467144" w:rsidRDefault="00467144" w:rsidP="00467144">
            <w:pPr>
              <w:numPr>
                <w:ilvl w:val="0"/>
                <w:numId w:val="21"/>
              </w:numPr>
              <w:jc w:val="both"/>
              <w:rPr>
                <w:rFonts w:ascii="Times New Roman" w:eastAsia="Times New Roman" w:hAnsi="Times New Roman" w:cs="Times New Roman"/>
                <w:sz w:val="24"/>
                <w:szCs w:val="24"/>
                <w:lang w:eastAsia="lv-LV"/>
              </w:rPr>
            </w:pPr>
            <w:r w:rsidRPr="00467144">
              <w:rPr>
                <w:rFonts w:ascii="Times New Roman" w:eastAsia="Times New Roman" w:hAnsi="Times New Roman" w:cs="Times New Roman"/>
                <w:sz w:val="24"/>
                <w:szCs w:val="24"/>
                <w:lang w:eastAsia="lv-LV"/>
              </w:rPr>
              <w:t xml:space="preserve">vidēji augsta gatavība – iesniedzot dokumentācija, kas apliecina potenciālo emisijas organizētāju apzināšanu </w:t>
            </w:r>
            <w:r w:rsidRPr="00467144">
              <w:rPr>
                <w:rFonts w:ascii="Times New Roman" w:eastAsia="Times New Roman" w:hAnsi="Times New Roman" w:cs="Times New Roman"/>
                <w:sz w:val="24"/>
                <w:szCs w:val="24"/>
                <w:u w:val="single"/>
                <w:lang w:eastAsia="lv-LV"/>
              </w:rPr>
              <w:t>(attiecināms, ja iepirkums/ cenu aptauja nav veikta)</w:t>
            </w:r>
            <w:r w:rsidRPr="00467144">
              <w:rPr>
                <w:rFonts w:ascii="Times New Roman" w:eastAsia="Times New Roman" w:hAnsi="Times New Roman" w:cs="Times New Roman"/>
                <w:sz w:val="24"/>
                <w:szCs w:val="24"/>
                <w:lang w:eastAsia="lv-LV"/>
              </w:rPr>
              <w:t xml:space="preserve">, tai skaitā: </w:t>
            </w:r>
          </w:p>
          <w:p w14:paraId="6E1568F4" w14:textId="77777777" w:rsidR="00467144" w:rsidRPr="00467144" w:rsidRDefault="00467144" w:rsidP="00467144">
            <w:pPr>
              <w:numPr>
                <w:ilvl w:val="1"/>
                <w:numId w:val="22"/>
              </w:numPr>
              <w:jc w:val="both"/>
              <w:rPr>
                <w:rFonts w:ascii="Times New Roman" w:eastAsia="Times New Roman" w:hAnsi="Times New Roman" w:cs="Times New Roman"/>
                <w:sz w:val="24"/>
                <w:szCs w:val="24"/>
                <w:lang w:eastAsia="lv-LV"/>
              </w:rPr>
            </w:pPr>
            <w:r w:rsidRPr="00467144">
              <w:rPr>
                <w:rFonts w:ascii="Times New Roman" w:eastAsia="Times New Roman" w:hAnsi="Times New Roman" w:cs="Times New Roman"/>
                <w:sz w:val="24"/>
                <w:szCs w:val="24"/>
                <w:lang w:eastAsia="lv-LV"/>
              </w:rPr>
              <w:t>detalizētu informāciju par potenciālo pakalpojumu sniedzēju izpētes metodēm, potenciālo pakalpojumu sniedzēju loku, kas pamatots ar konkrētiem datiem par apzināto pakalpojumu sniedzēju loku (kontakti, rekvizīti, vispārēja informācija par komersantu, no kura informācijas avota iegūti kontakti), paskaidrojot izvēles kritērijus un informāciju pamatojot, piem., ar saraksti, sākotnējiem piedāvājumiem u.tml.;</w:t>
            </w:r>
          </w:p>
          <w:p w14:paraId="46684AAE" w14:textId="77777777" w:rsidR="00467144" w:rsidRPr="00467144" w:rsidRDefault="00467144" w:rsidP="00467144">
            <w:pPr>
              <w:numPr>
                <w:ilvl w:val="1"/>
                <w:numId w:val="22"/>
              </w:numPr>
              <w:jc w:val="both"/>
              <w:rPr>
                <w:rFonts w:ascii="Times New Roman" w:eastAsia="Times New Roman" w:hAnsi="Times New Roman" w:cs="Times New Roman"/>
                <w:sz w:val="24"/>
                <w:szCs w:val="24"/>
                <w:lang w:eastAsia="lv-LV"/>
              </w:rPr>
            </w:pPr>
            <w:r w:rsidRPr="00467144">
              <w:rPr>
                <w:rFonts w:ascii="Times New Roman" w:eastAsia="Times New Roman" w:hAnsi="Times New Roman" w:cs="Times New Roman"/>
                <w:sz w:val="24"/>
                <w:szCs w:val="24"/>
                <w:lang w:eastAsia="lv-LV"/>
              </w:rPr>
              <w:t>noslēgtu sadarbības nodoma līgumu ar emisijas organizētāju vai emisijas organizētāja apliecinājumu par gatavību uzsākt sadarbību (ja attiecināms) MK noteikumu 17.1., 17.2. un/vai 17.3. apakšpunktā minēto aktivitāšu īstenošanai.</w:t>
            </w:r>
          </w:p>
          <w:p w14:paraId="2A05E0BC" w14:textId="77777777" w:rsidR="00467144" w:rsidRPr="00467144" w:rsidRDefault="00467144" w:rsidP="00467144">
            <w:pPr>
              <w:jc w:val="both"/>
              <w:rPr>
                <w:rFonts w:ascii="Times New Roman" w:eastAsia="Calibri" w:hAnsi="Times New Roman" w:cs="Times New Roman"/>
                <w:sz w:val="24"/>
                <w:szCs w:val="24"/>
                <w:lang w:eastAsia="lv-LV"/>
              </w:rPr>
            </w:pPr>
            <w:r w:rsidRPr="00467144">
              <w:rPr>
                <w:rFonts w:ascii="Times New Roman" w:eastAsia="Calibri" w:hAnsi="Times New Roman" w:cs="Times New Roman"/>
                <w:sz w:val="24"/>
                <w:szCs w:val="24"/>
                <w:lang w:eastAsia="lv-LV"/>
              </w:rPr>
              <w:t>Atbilstoši minētajiem dokumentiem projekta iesniegums tiks vērtēts kvalitātes kritērijā Nr.3.1., t.i., tad saņems par 5 punktiem augstāku punktu skaitu, ja tam būs augsta gatavība.</w:t>
            </w:r>
          </w:p>
          <w:p w14:paraId="3E8B58E0" w14:textId="77777777" w:rsidR="00467144" w:rsidRPr="00467144" w:rsidRDefault="00467144" w:rsidP="00467144">
            <w:pPr>
              <w:jc w:val="both"/>
              <w:rPr>
                <w:rFonts w:ascii="Times New Roman" w:eastAsia="Calibri" w:hAnsi="Times New Roman" w:cs="Times New Roman"/>
                <w:sz w:val="24"/>
                <w:szCs w:val="24"/>
                <w:lang w:eastAsia="lv-LV"/>
              </w:rPr>
            </w:pPr>
            <w:r w:rsidRPr="00467144">
              <w:rPr>
                <w:rFonts w:ascii="Times New Roman" w:eastAsia="Calibri" w:hAnsi="Times New Roman" w:cs="Times New Roman"/>
                <w:sz w:val="24"/>
                <w:szCs w:val="24"/>
                <w:lang w:eastAsia="lv-LV"/>
              </w:rPr>
              <w:t> </w:t>
            </w:r>
          </w:p>
          <w:p w14:paraId="02DD5548" w14:textId="77777777" w:rsidR="00467144" w:rsidRPr="00467144" w:rsidRDefault="00467144" w:rsidP="00467144">
            <w:pPr>
              <w:jc w:val="both"/>
              <w:rPr>
                <w:rFonts w:ascii="Times New Roman" w:eastAsia="Calibri" w:hAnsi="Times New Roman" w:cs="Times New Roman"/>
                <w:sz w:val="24"/>
                <w:szCs w:val="24"/>
                <w:lang w:eastAsia="lv-LV"/>
              </w:rPr>
            </w:pPr>
            <w:r w:rsidRPr="00467144">
              <w:rPr>
                <w:rFonts w:ascii="Times New Roman" w:eastAsia="Calibri" w:hAnsi="Times New Roman" w:cs="Times New Roman"/>
                <w:sz w:val="24"/>
                <w:szCs w:val="24"/>
                <w:lang w:eastAsia="lv-LV"/>
              </w:rPr>
              <w:t xml:space="preserve">Tātad, iesniedzot projekta iesniegumu, ar nodomu vienošanos (papildus 2.a apakšpunktā minētajai informācijai) ir pietiekami, taču tas nodrošina mazāku punktu skaitu nekā noslēgts līgums. Visām projekta attiecināmajām izmaksām ir jābūt pamatotām ar izpētes dokumentāciju atbilstoši 1. vai 2. punktā norādītajai projekta gatavības stadijai – augstas gatavības gadījumā ar iepirkuma vai cenu aptaujas dokumentāciju atbilstoši paredzamajai pakalpojuma cenai, vidēji augstas gatavības gadījumā ar potenciālo pakalpojumu sniedzēju izpētes dokumentāciju. Tātad vidēji augstas gatavības gadījumā nav jābūt izvēlēties konkrētiem pakalpojumu sniedzējiem, bet tiem jābūt apzinātiem un iesniegtai 2. punktā minētajai informācijai. </w:t>
            </w:r>
          </w:p>
          <w:p w14:paraId="001D5EB6" w14:textId="77777777" w:rsidR="00467144" w:rsidRPr="00467144" w:rsidRDefault="00467144" w:rsidP="00467144">
            <w:pPr>
              <w:jc w:val="both"/>
              <w:rPr>
                <w:rFonts w:ascii="Times New Roman" w:eastAsia="Calibri" w:hAnsi="Times New Roman" w:cs="Times New Roman"/>
                <w:sz w:val="24"/>
                <w:szCs w:val="24"/>
                <w:lang w:eastAsia="lv-LV"/>
              </w:rPr>
            </w:pPr>
            <w:r w:rsidRPr="00467144">
              <w:rPr>
                <w:rFonts w:ascii="Times New Roman" w:eastAsia="Calibri" w:hAnsi="Times New Roman" w:cs="Times New Roman"/>
                <w:sz w:val="24"/>
                <w:szCs w:val="24"/>
                <w:lang w:eastAsia="lv-LV"/>
              </w:rPr>
              <w:t> </w:t>
            </w:r>
          </w:p>
          <w:p w14:paraId="094EEEA5" w14:textId="77777777" w:rsidR="00467144" w:rsidRDefault="00467144" w:rsidP="00467144">
            <w:pPr>
              <w:rPr>
                <w:rFonts w:ascii="Times New Roman" w:eastAsia="Calibri" w:hAnsi="Times New Roman" w:cs="Times New Roman"/>
                <w:bCs/>
                <w:sz w:val="24"/>
                <w:szCs w:val="24"/>
                <w:lang w:eastAsia="lv-LV"/>
              </w:rPr>
            </w:pPr>
            <w:r w:rsidRPr="00467144">
              <w:rPr>
                <w:rFonts w:ascii="Times New Roman" w:eastAsia="Calibri" w:hAnsi="Times New Roman" w:cs="Times New Roman"/>
                <w:bCs/>
                <w:sz w:val="24"/>
                <w:szCs w:val="24"/>
                <w:lang w:eastAsia="lv-LV"/>
              </w:rPr>
              <w:t>Par c) punktu:</w:t>
            </w:r>
            <w:r>
              <w:rPr>
                <w:rFonts w:ascii="Times New Roman" w:eastAsia="Calibri" w:hAnsi="Times New Roman" w:cs="Times New Roman"/>
                <w:bCs/>
                <w:sz w:val="24"/>
                <w:szCs w:val="24"/>
                <w:lang w:eastAsia="lv-LV"/>
              </w:rPr>
              <w:t xml:space="preserve">  </w:t>
            </w:r>
          </w:p>
          <w:p w14:paraId="3C8C4297" w14:textId="2BFA03E6" w:rsidR="00467144" w:rsidRPr="00467144" w:rsidRDefault="00467144" w:rsidP="00467144">
            <w:pPr>
              <w:jc w:val="both"/>
              <w:rPr>
                <w:rFonts w:ascii="Calibri" w:eastAsia="Calibri" w:hAnsi="Calibri" w:cs="Calibri"/>
                <w:lang w:eastAsia="lv-LV"/>
              </w:rPr>
            </w:pPr>
            <w:r w:rsidRPr="00467144">
              <w:rPr>
                <w:rFonts w:ascii="Times New Roman" w:eastAsia="Calibri" w:hAnsi="Times New Roman" w:cs="Times New Roman"/>
                <w:sz w:val="24"/>
                <w:szCs w:val="24"/>
                <w:lang w:eastAsia="lv-LV"/>
              </w:rPr>
              <w:t xml:space="preserve">Saskaņā ar </w:t>
            </w:r>
            <w:hyperlink r:id="rId20" w:history="1">
              <w:r w:rsidRPr="00467144">
                <w:rPr>
                  <w:rFonts w:ascii="Times New Roman" w:eastAsia="Calibri" w:hAnsi="Times New Roman" w:cs="Times New Roman"/>
                  <w:color w:val="0563C1"/>
                  <w:sz w:val="24"/>
                  <w:szCs w:val="24"/>
                  <w:u w:val="single"/>
                  <w:lang w:eastAsia="lv-LV"/>
                </w:rPr>
                <w:t>MK noteikumu</w:t>
              </w:r>
            </w:hyperlink>
            <w:r w:rsidRPr="00467144">
              <w:rPr>
                <w:rFonts w:ascii="Times New Roman" w:eastAsia="Calibri" w:hAnsi="Times New Roman" w:cs="Times New Roman"/>
                <w:sz w:val="24"/>
                <w:szCs w:val="24"/>
                <w:lang w:eastAsia="lv-LV"/>
              </w:rPr>
              <w:t xml:space="preserve"> 3.punktu pasākuma mērķis ir veicināt komersantu </w:t>
            </w:r>
            <w:r w:rsidRPr="00467144">
              <w:rPr>
                <w:rFonts w:ascii="Times New Roman" w:eastAsia="Calibri" w:hAnsi="Times New Roman" w:cs="Times New Roman"/>
                <w:sz w:val="24"/>
                <w:szCs w:val="24"/>
                <w:u w:val="single"/>
                <w:lang w:eastAsia="lv-LV"/>
              </w:rPr>
              <w:t>attīstībai nepieciešamā finansējuma piesaisti</w:t>
            </w:r>
            <w:r w:rsidRPr="00467144">
              <w:rPr>
                <w:rFonts w:ascii="Times New Roman" w:eastAsia="Calibri" w:hAnsi="Times New Roman" w:cs="Times New Roman"/>
                <w:sz w:val="24"/>
                <w:szCs w:val="24"/>
                <w:lang w:eastAsia="lv-LV"/>
              </w:rPr>
              <w:t xml:space="preserve"> kapitāla tirgos, tādējādi paaugstinot komersantu starptautisko konkurētspēju, kā arī attīstīt kapitāla tirgu Latvijā, tātad gadījumā, ja “jauna nauda” projekta ietvaros netiktu piesaistīta, projekta iesniegums neatbilstu 3.1.1.3. pasākuma mērķim un nebūtu atbalstāms. Saskaņā ar </w:t>
            </w:r>
            <w:hyperlink r:id="rId21" w:history="1">
              <w:r w:rsidRPr="00467144">
                <w:rPr>
                  <w:rFonts w:ascii="Times New Roman" w:eastAsia="Calibri" w:hAnsi="Times New Roman" w:cs="Times New Roman"/>
                  <w:color w:val="0563C1"/>
                  <w:sz w:val="24"/>
                  <w:szCs w:val="24"/>
                  <w:u w:val="single"/>
                  <w:lang w:eastAsia="lv-LV"/>
                </w:rPr>
                <w:t>projekta iesnieguma veidlapas aizpildīšanas metodiku</w:t>
              </w:r>
            </w:hyperlink>
            <w:r w:rsidRPr="00467144">
              <w:rPr>
                <w:rFonts w:ascii="Times New Roman" w:eastAsia="Calibri" w:hAnsi="Times New Roman" w:cs="Times New Roman"/>
                <w:sz w:val="24"/>
                <w:szCs w:val="24"/>
                <w:lang w:eastAsia="lv-LV"/>
              </w:rPr>
              <w:t xml:space="preserve"> projekta iesnieguma 1.6.1. apakšpunktā “Iznākuma rādītāji” ir jānorāda plānotais piesaistītais privātais finansējums, kas sastāv no projekta iesniedzēja līdzfinansējuma projekta </w:t>
            </w:r>
            <w:r w:rsidRPr="00467144">
              <w:rPr>
                <w:rFonts w:ascii="Times New Roman" w:eastAsia="Calibri" w:hAnsi="Times New Roman" w:cs="Times New Roman"/>
                <w:sz w:val="24"/>
                <w:szCs w:val="24"/>
                <w:lang w:eastAsia="lv-LV"/>
              </w:rPr>
              <w:lastRenderedPageBreak/>
              <w:t xml:space="preserve">īstenošanai un </w:t>
            </w:r>
            <w:r w:rsidRPr="00467144">
              <w:rPr>
                <w:rFonts w:ascii="Times New Roman" w:eastAsia="Calibri" w:hAnsi="Times New Roman" w:cs="Times New Roman"/>
                <w:sz w:val="24"/>
                <w:szCs w:val="24"/>
                <w:u w:val="single"/>
                <w:lang w:eastAsia="lv-LV"/>
              </w:rPr>
              <w:t xml:space="preserve">tirdzniecības vietā piesaistītā privāto finansējumu, </w:t>
            </w:r>
            <w:r w:rsidRPr="00467144">
              <w:rPr>
                <w:rFonts w:ascii="Times New Roman" w:eastAsia="Calibri" w:hAnsi="Times New Roman" w:cs="Times New Roman"/>
                <w:sz w:val="24"/>
                <w:szCs w:val="24"/>
                <w:lang w:eastAsia="lv-LV"/>
              </w:rPr>
              <w:t>un saskaņā ar projektu iesniegumu atlases nolikuma 11.5.6. apakšpunktu projekta iesniegumam ir jāievieno biznesa plāns, kur t.sk. jāietver informācija par plānoto attīstības scenāriju un plānoto ārējā finansējuma piesaistes apmēru un tā pamatojumu.</w:t>
            </w:r>
          </w:p>
        </w:tc>
      </w:tr>
      <w:tr w:rsidR="00597EE1" w:rsidRPr="00AF2308" w14:paraId="10F69F42" w14:textId="77777777" w:rsidTr="0001345D">
        <w:tc>
          <w:tcPr>
            <w:tcW w:w="10461" w:type="dxa"/>
            <w:tcBorders>
              <w:top w:val="single" w:sz="4" w:space="0" w:color="auto"/>
              <w:left w:val="single" w:sz="4" w:space="0" w:color="auto"/>
              <w:bottom w:val="single" w:sz="4" w:space="0" w:color="auto"/>
              <w:right w:val="single" w:sz="4" w:space="0" w:color="auto"/>
            </w:tcBorders>
            <w:shd w:val="clear" w:color="auto" w:fill="E7E6E6" w:themeFill="background2"/>
          </w:tcPr>
          <w:p w14:paraId="52DC5DFA" w14:textId="77777777" w:rsidR="00597EE1" w:rsidRDefault="00597EE1"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lastRenderedPageBreak/>
              <w:t>10.jautājums:</w:t>
            </w:r>
          </w:p>
          <w:p w14:paraId="19AA3B29" w14:textId="77777777" w:rsidR="00597EE1" w:rsidRDefault="00597EE1" w:rsidP="00467144">
            <w:pPr>
              <w:jc w:val="both"/>
              <w:rPr>
                <w:rFonts w:ascii="Times New Roman" w:eastAsia="Calibri" w:hAnsi="Times New Roman" w:cs="Times New Roman"/>
                <w:bCs/>
                <w:sz w:val="24"/>
                <w:szCs w:val="24"/>
                <w:lang w:eastAsia="lv-LV"/>
              </w:rPr>
            </w:pPr>
          </w:p>
          <w:p w14:paraId="29D9509F" w14:textId="2B93AFF6" w:rsidR="00597EE1" w:rsidRPr="00467144" w:rsidRDefault="00597EE1" w:rsidP="00467144">
            <w:pPr>
              <w:jc w:val="both"/>
              <w:rPr>
                <w:rFonts w:ascii="Times New Roman" w:eastAsia="Calibri" w:hAnsi="Times New Roman" w:cs="Times New Roman"/>
                <w:bCs/>
                <w:sz w:val="24"/>
                <w:szCs w:val="24"/>
                <w:lang w:eastAsia="lv-LV"/>
              </w:rPr>
            </w:pPr>
            <w:r w:rsidRPr="00597EE1">
              <w:rPr>
                <w:rFonts w:ascii="Times New Roman" w:eastAsia="Calibri" w:hAnsi="Times New Roman" w:cs="Times New Roman"/>
                <w:bCs/>
                <w:sz w:val="24"/>
                <w:szCs w:val="24"/>
                <w:lang w:eastAsia="lv-LV"/>
              </w:rPr>
              <w:t xml:space="preserve">Ja </w:t>
            </w:r>
            <w:r>
              <w:rPr>
                <w:rFonts w:ascii="Times New Roman" w:eastAsia="Calibri" w:hAnsi="Times New Roman" w:cs="Times New Roman"/>
                <w:bCs/>
                <w:sz w:val="24"/>
                <w:szCs w:val="24"/>
                <w:lang w:eastAsia="lv-LV"/>
              </w:rPr>
              <w:t>esam piedalījušies SAM pasākumā</w:t>
            </w:r>
            <w:r w:rsidRPr="00597EE1">
              <w:rPr>
                <w:rFonts w:ascii="Times New Roman" w:eastAsia="Calibri" w:hAnsi="Times New Roman" w:cs="Times New Roman"/>
                <w:bCs/>
                <w:sz w:val="24"/>
                <w:szCs w:val="24"/>
                <w:lang w:eastAsia="lv-LV"/>
              </w:rPr>
              <w:t xml:space="preserve"> 1.1.1.1 un piesaistī</w:t>
            </w:r>
            <w:r>
              <w:rPr>
                <w:rFonts w:ascii="Times New Roman" w:eastAsia="Calibri" w:hAnsi="Times New Roman" w:cs="Times New Roman"/>
                <w:bCs/>
                <w:sz w:val="24"/>
                <w:szCs w:val="24"/>
                <w:lang w:eastAsia="lv-LV"/>
              </w:rPr>
              <w:t>juši</w:t>
            </w:r>
            <w:r w:rsidRPr="00597EE1">
              <w:rPr>
                <w:rFonts w:ascii="Times New Roman" w:eastAsia="Calibri" w:hAnsi="Times New Roman" w:cs="Times New Roman"/>
                <w:bCs/>
                <w:sz w:val="24"/>
                <w:szCs w:val="24"/>
                <w:lang w:eastAsia="lv-LV"/>
              </w:rPr>
              <w:t xml:space="preserve"> valsts atbalstu</w:t>
            </w:r>
            <w:r>
              <w:rPr>
                <w:rFonts w:ascii="Times New Roman" w:eastAsia="Calibri" w:hAnsi="Times New Roman" w:cs="Times New Roman"/>
                <w:bCs/>
                <w:sz w:val="24"/>
                <w:szCs w:val="24"/>
                <w:lang w:eastAsia="lv-LV"/>
              </w:rPr>
              <w:t>, pamatojoties uz</w:t>
            </w:r>
            <w:r w:rsidRPr="00597EE1">
              <w:rPr>
                <w:rFonts w:ascii="Times New Roman" w:eastAsia="Calibri" w:hAnsi="Times New Roman" w:cs="Times New Roman"/>
                <w:bCs/>
                <w:sz w:val="24"/>
                <w:szCs w:val="24"/>
                <w:lang w:eastAsia="lv-LV"/>
              </w:rPr>
              <w:t xml:space="preserve"> Komisijas 2014.gada 17.jūnija Regul</w:t>
            </w:r>
            <w:r>
              <w:rPr>
                <w:rFonts w:ascii="Times New Roman" w:eastAsia="Calibri" w:hAnsi="Times New Roman" w:cs="Times New Roman"/>
                <w:bCs/>
                <w:sz w:val="24"/>
                <w:szCs w:val="24"/>
                <w:lang w:eastAsia="lv-LV"/>
              </w:rPr>
              <w:t>u</w:t>
            </w:r>
            <w:r w:rsidRPr="00597EE1">
              <w:rPr>
                <w:rFonts w:ascii="Times New Roman" w:eastAsia="Calibri" w:hAnsi="Times New Roman" w:cs="Times New Roman"/>
                <w:bCs/>
                <w:sz w:val="24"/>
                <w:szCs w:val="24"/>
                <w:lang w:eastAsia="lv-LV"/>
              </w:rPr>
              <w:t xml:space="preserve"> (ES) Nr.651/2014, ar ko noteiktas atbalsta kategorijas atzīst par saderīgām ar iekšējo tirgu, piemērojot Līguma 107. un 108. pantu</w:t>
            </w:r>
            <w:r>
              <w:rPr>
                <w:rFonts w:ascii="Times New Roman" w:eastAsia="Calibri" w:hAnsi="Times New Roman" w:cs="Times New Roman"/>
                <w:bCs/>
                <w:sz w:val="24"/>
                <w:szCs w:val="24"/>
                <w:lang w:eastAsia="lv-LV"/>
              </w:rPr>
              <w:t>,</w:t>
            </w:r>
            <w:r w:rsidRPr="00597EE1">
              <w:rPr>
                <w:rFonts w:ascii="Times New Roman" w:eastAsia="Calibri" w:hAnsi="Times New Roman" w:cs="Times New Roman"/>
                <w:bCs/>
                <w:sz w:val="24"/>
                <w:szCs w:val="24"/>
                <w:lang w:eastAsia="lv-LV"/>
              </w:rPr>
              <w:t xml:space="preserve"> vai drīkst SAM</w:t>
            </w:r>
            <w:r>
              <w:rPr>
                <w:rFonts w:ascii="Times New Roman" w:eastAsia="Calibri" w:hAnsi="Times New Roman" w:cs="Times New Roman"/>
                <w:bCs/>
                <w:sz w:val="24"/>
                <w:szCs w:val="24"/>
                <w:lang w:eastAsia="lv-LV"/>
              </w:rPr>
              <w:t xml:space="preserve"> pasākum</w:t>
            </w:r>
            <w:r w:rsidR="0001345D">
              <w:rPr>
                <w:rFonts w:ascii="Times New Roman" w:eastAsia="Calibri" w:hAnsi="Times New Roman" w:cs="Times New Roman"/>
                <w:bCs/>
                <w:sz w:val="24"/>
                <w:szCs w:val="24"/>
                <w:lang w:eastAsia="lv-LV"/>
              </w:rPr>
              <w:t>a</w:t>
            </w:r>
            <w:r w:rsidRPr="00597EE1">
              <w:rPr>
                <w:rFonts w:ascii="Times New Roman" w:eastAsia="Calibri" w:hAnsi="Times New Roman" w:cs="Times New Roman"/>
                <w:bCs/>
                <w:sz w:val="24"/>
                <w:szCs w:val="24"/>
                <w:lang w:eastAsia="lv-LV"/>
              </w:rPr>
              <w:t xml:space="preserve"> 3.1.1.3.</w:t>
            </w:r>
            <w:r w:rsidR="0001345D">
              <w:rPr>
                <w:rFonts w:ascii="Times New Roman" w:eastAsia="Calibri" w:hAnsi="Times New Roman" w:cs="Times New Roman"/>
                <w:bCs/>
                <w:sz w:val="24"/>
                <w:szCs w:val="24"/>
                <w:lang w:eastAsia="lv-LV"/>
              </w:rPr>
              <w:t xml:space="preserve"> ietvaros</w:t>
            </w:r>
            <w:r w:rsidRPr="00597EE1">
              <w:rPr>
                <w:rFonts w:ascii="Times New Roman" w:eastAsia="Calibri" w:hAnsi="Times New Roman" w:cs="Times New Roman"/>
                <w:bCs/>
                <w:sz w:val="24"/>
                <w:szCs w:val="24"/>
                <w:lang w:eastAsia="lv-LV"/>
              </w:rPr>
              <w:t xml:space="preserve"> pretendēt uz </w:t>
            </w:r>
            <w:r>
              <w:rPr>
                <w:rFonts w:ascii="Times New Roman" w:eastAsia="Calibri" w:hAnsi="Times New Roman" w:cs="Times New Roman"/>
                <w:bCs/>
                <w:sz w:val="24"/>
                <w:szCs w:val="24"/>
                <w:lang w:eastAsia="lv-LV"/>
              </w:rPr>
              <w:t>atbalstu, pamatojoties</w:t>
            </w:r>
            <w:r w:rsidRPr="00597EE1">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uz</w:t>
            </w:r>
            <w:r w:rsidRPr="00597EE1">
              <w:rPr>
                <w:rFonts w:ascii="Times New Roman" w:eastAsia="Calibri" w:hAnsi="Times New Roman" w:cs="Times New Roman"/>
                <w:bCs/>
                <w:sz w:val="24"/>
                <w:szCs w:val="24"/>
                <w:lang w:eastAsia="lv-LV"/>
              </w:rPr>
              <w:t xml:space="preserve"> </w:t>
            </w:r>
            <w:r w:rsidR="0001345D" w:rsidRPr="0001345D">
              <w:rPr>
                <w:rFonts w:ascii="Times New Roman" w:eastAsia="Calibri" w:hAnsi="Times New Roman" w:cs="Times New Roman"/>
                <w:bCs/>
                <w:sz w:val="24"/>
                <w:szCs w:val="24"/>
                <w:lang w:eastAsia="lv-LV"/>
              </w:rPr>
              <w:t xml:space="preserve">Komisijas 2013.gada 18.decembra Regulu (ES) Nr.1407/2013 par Līguma par Eiropas Savienības darbību 107. un 108. panta piemērošanu </w:t>
            </w:r>
            <w:proofErr w:type="spellStart"/>
            <w:r w:rsidR="0001345D" w:rsidRPr="0001345D">
              <w:rPr>
                <w:rFonts w:ascii="Times New Roman" w:eastAsia="Calibri" w:hAnsi="Times New Roman" w:cs="Times New Roman"/>
                <w:bCs/>
                <w:sz w:val="24"/>
                <w:szCs w:val="24"/>
                <w:lang w:eastAsia="lv-LV"/>
              </w:rPr>
              <w:t>de</w:t>
            </w:r>
            <w:proofErr w:type="spellEnd"/>
            <w:r w:rsidR="0001345D" w:rsidRPr="0001345D">
              <w:rPr>
                <w:rFonts w:ascii="Times New Roman" w:eastAsia="Calibri" w:hAnsi="Times New Roman" w:cs="Times New Roman"/>
                <w:bCs/>
                <w:sz w:val="24"/>
                <w:szCs w:val="24"/>
                <w:lang w:eastAsia="lv-LV"/>
              </w:rPr>
              <w:t xml:space="preserve"> </w:t>
            </w:r>
            <w:proofErr w:type="spellStart"/>
            <w:r w:rsidR="0001345D" w:rsidRPr="0001345D">
              <w:rPr>
                <w:rFonts w:ascii="Times New Roman" w:eastAsia="Calibri" w:hAnsi="Times New Roman" w:cs="Times New Roman"/>
                <w:bCs/>
                <w:sz w:val="24"/>
                <w:szCs w:val="24"/>
                <w:lang w:eastAsia="lv-LV"/>
              </w:rPr>
              <w:t>minimis</w:t>
            </w:r>
            <w:proofErr w:type="spellEnd"/>
            <w:r w:rsidR="0001345D" w:rsidRPr="0001345D">
              <w:rPr>
                <w:rFonts w:ascii="Times New Roman" w:eastAsia="Calibri" w:hAnsi="Times New Roman" w:cs="Times New Roman"/>
                <w:bCs/>
                <w:sz w:val="24"/>
                <w:szCs w:val="24"/>
                <w:lang w:eastAsia="lv-LV"/>
              </w:rPr>
              <w:t xml:space="preserve"> atbalstam</w:t>
            </w:r>
            <w:r w:rsidRPr="00597EE1">
              <w:rPr>
                <w:rFonts w:ascii="Times New Roman" w:eastAsia="Calibri" w:hAnsi="Times New Roman" w:cs="Times New Roman"/>
                <w:bCs/>
                <w:sz w:val="24"/>
                <w:szCs w:val="24"/>
                <w:lang w:eastAsia="lv-LV"/>
              </w:rPr>
              <w:t>?</w:t>
            </w:r>
          </w:p>
        </w:tc>
      </w:tr>
      <w:tr w:rsidR="0001345D" w:rsidRPr="00AF2308" w14:paraId="1B37D7E5" w14:textId="77777777" w:rsidTr="00467144">
        <w:tc>
          <w:tcPr>
            <w:tcW w:w="10461" w:type="dxa"/>
            <w:tcBorders>
              <w:top w:val="single" w:sz="4" w:space="0" w:color="auto"/>
              <w:left w:val="single" w:sz="4" w:space="0" w:color="auto"/>
              <w:bottom w:val="single" w:sz="4" w:space="0" w:color="auto"/>
              <w:right w:val="single" w:sz="4" w:space="0" w:color="auto"/>
            </w:tcBorders>
            <w:shd w:val="clear" w:color="auto" w:fill="auto"/>
          </w:tcPr>
          <w:p w14:paraId="0DD7D533" w14:textId="77777777" w:rsidR="0001345D" w:rsidRDefault="0001345D"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Atbilde uz 10.jautājumu:</w:t>
            </w:r>
          </w:p>
          <w:p w14:paraId="18BC6717" w14:textId="77777777" w:rsidR="0001345D" w:rsidRDefault="0001345D" w:rsidP="00467144">
            <w:pPr>
              <w:jc w:val="both"/>
              <w:rPr>
                <w:rFonts w:ascii="Times New Roman" w:eastAsia="Calibri" w:hAnsi="Times New Roman" w:cs="Times New Roman"/>
                <w:bCs/>
                <w:sz w:val="24"/>
                <w:szCs w:val="24"/>
                <w:lang w:eastAsia="lv-LV"/>
              </w:rPr>
            </w:pPr>
          </w:p>
          <w:p w14:paraId="2D3667C6" w14:textId="186E283C" w:rsidR="0001345D" w:rsidRDefault="0001345D" w:rsidP="00467144">
            <w:pPr>
              <w:jc w:val="both"/>
              <w:rPr>
                <w:rFonts w:ascii="Times New Roman" w:eastAsia="Calibri" w:hAnsi="Times New Roman" w:cs="Times New Roman"/>
                <w:bCs/>
                <w:sz w:val="24"/>
                <w:szCs w:val="24"/>
                <w:lang w:eastAsia="lv-LV"/>
              </w:rPr>
            </w:pPr>
            <w:r w:rsidRPr="0001345D">
              <w:rPr>
                <w:rFonts w:ascii="Times New Roman" w:eastAsia="Calibri" w:hAnsi="Times New Roman" w:cs="Times New Roman"/>
                <w:bCs/>
                <w:sz w:val="24"/>
                <w:szCs w:val="24"/>
                <w:lang w:eastAsia="lv-LV"/>
              </w:rPr>
              <w:t xml:space="preserve">Apstiprinām, ka </w:t>
            </w:r>
            <w:r>
              <w:rPr>
                <w:rFonts w:ascii="Times New Roman" w:eastAsia="Calibri" w:hAnsi="Times New Roman" w:cs="Times New Roman"/>
                <w:bCs/>
                <w:sz w:val="24"/>
                <w:szCs w:val="24"/>
                <w:lang w:eastAsia="lv-LV"/>
              </w:rPr>
              <w:t xml:space="preserve">konkrētajā situācijā </w:t>
            </w:r>
            <w:r w:rsidRPr="0001345D">
              <w:rPr>
                <w:rFonts w:ascii="Times New Roman" w:eastAsia="Calibri" w:hAnsi="Times New Roman" w:cs="Times New Roman"/>
                <w:bCs/>
                <w:sz w:val="24"/>
                <w:szCs w:val="24"/>
                <w:lang w:eastAsia="lv-LV"/>
              </w:rPr>
              <w:t>ierobežojums nepastāv, vienlaikus</w:t>
            </w:r>
            <w:r>
              <w:rPr>
                <w:rFonts w:ascii="Times New Roman" w:eastAsia="Calibri" w:hAnsi="Times New Roman" w:cs="Times New Roman"/>
                <w:bCs/>
                <w:sz w:val="24"/>
                <w:szCs w:val="24"/>
                <w:lang w:eastAsia="lv-LV"/>
              </w:rPr>
              <w:t xml:space="preserve">, </w:t>
            </w:r>
            <w:r w:rsidRPr="0001345D">
              <w:rPr>
                <w:rFonts w:ascii="Times New Roman" w:eastAsia="Calibri" w:hAnsi="Times New Roman" w:cs="Times New Roman"/>
                <w:bCs/>
                <w:sz w:val="24"/>
                <w:szCs w:val="24"/>
                <w:lang w:eastAsia="lv-LV"/>
              </w:rPr>
              <w:t xml:space="preserve">pretendējot uz </w:t>
            </w:r>
            <w:proofErr w:type="spellStart"/>
            <w:r w:rsidRPr="0001345D">
              <w:rPr>
                <w:rFonts w:ascii="Times New Roman" w:eastAsia="Calibri" w:hAnsi="Times New Roman" w:cs="Times New Roman"/>
                <w:bCs/>
                <w:i/>
                <w:sz w:val="24"/>
                <w:szCs w:val="24"/>
                <w:lang w:eastAsia="lv-LV"/>
              </w:rPr>
              <w:t>de</w:t>
            </w:r>
            <w:proofErr w:type="spellEnd"/>
            <w:r w:rsidRPr="0001345D">
              <w:rPr>
                <w:rFonts w:ascii="Times New Roman" w:eastAsia="Calibri" w:hAnsi="Times New Roman" w:cs="Times New Roman"/>
                <w:bCs/>
                <w:i/>
                <w:sz w:val="24"/>
                <w:szCs w:val="24"/>
                <w:lang w:eastAsia="lv-LV"/>
              </w:rPr>
              <w:t xml:space="preserve"> </w:t>
            </w:r>
            <w:proofErr w:type="spellStart"/>
            <w:r w:rsidRPr="0001345D">
              <w:rPr>
                <w:rFonts w:ascii="Times New Roman" w:eastAsia="Calibri" w:hAnsi="Times New Roman" w:cs="Times New Roman"/>
                <w:bCs/>
                <w:i/>
                <w:sz w:val="24"/>
                <w:szCs w:val="24"/>
                <w:lang w:eastAsia="lv-LV"/>
              </w:rPr>
              <w:t>minimis</w:t>
            </w:r>
            <w:proofErr w:type="spellEnd"/>
            <w:r w:rsidRPr="0001345D">
              <w:rPr>
                <w:rFonts w:ascii="Times New Roman" w:eastAsia="Calibri" w:hAnsi="Times New Roman" w:cs="Times New Roman"/>
                <w:bCs/>
                <w:sz w:val="24"/>
                <w:szCs w:val="24"/>
                <w:lang w:eastAsia="lv-LV"/>
              </w:rPr>
              <w:t xml:space="preserve"> atbalstu, lūdzam pārliecināties par </w:t>
            </w:r>
            <w:r>
              <w:rPr>
                <w:rFonts w:ascii="Times New Roman" w:eastAsia="Calibri" w:hAnsi="Times New Roman" w:cs="Times New Roman"/>
                <w:bCs/>
                <w:sz w:val="24"/>
                <w:szCs w:val="24"/>
                <w:lang w:eastAsia="lv-LV"/>
              </w:rPr>
              <w:t>viena vienota uzņēmuma (VVU)</w:t>
            </w:r>
            <w:r w:rsidRPr="0001345D">
              <w:rPr>
                <w:rFonts w:ascii="Times New Roman" w:eastAsia="Calibri" w:hAnsi="Times New Roman" w:cs="Times New Roman"/>
                <w:bCs/>
                <w:sz w:val="24"/>
                <w:szCs w:val="24"/>
                <w:lang w:eastAsia="lv-LV"/>
              </w:rPr>
              <w:t xml:space="preserve"> ietvaros pieejamo limitu kopsakarā ar projektā plānoto.</w:t>
            </w:r>
          </w:p>
        </w:tc>
      </w:tr>
      <w:tr w:rsidR="0001345D" w:rsidRPr="00AF2308" w14:paraId="784CDF4C" w14:textId="77777777" w:rsidTr="0001345D">
        <w:tc>
          <w:tcPr>
            <w:tcW w:w="10461" w:type="dxa"/>
            <w:tcBorders>
              <w:top w:val="single" w:sz="4" w:space="0" w:color="auto"/>
              <w:left w:val="single" w:sz="4" w:space="0" w:color="auto"/>
              <w:bottom w:val="single" w:sz="4" w:space="0" w:color="auto"/>
              <w:right w:val="single" w:sz="4" w:space="0" w:color="auto"/>
            </w:tcBorders>
            <w:shd w:val="clear" w:color="auto" w:fill="E7E6E6" w:themeFill="background2"/>
          </w:tcPr>
          <w:p w14:paraId="1632C743" w14:textId="77777777" w:rsidR="0001345D" w:rsidRDefault="0001345D"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11.jautājums:</w:t>
            </w:r>
          </w:p>
          <w:p w14:paraId="3759FF2F" w14:textId="77777777" w:rsidR="0001345D" w:rsidRDefault="0001345D" w:rsidP="00467144">
            <w:pPr>
              <w:jc w:val="both"/>
              <w:rPr>
                <w:rFonts w:ascii="Times New Roman" w:eastAsia="Calibri" w:hAnsi="Times New Roman" w:cs="Times New Roman"/>
                <w:bCs/>
                <w:sz w:val="24"/>
                <w:szCs w:val="24"/>
                <w:lang w:eastAsia="lv-LV"/>
              </w:rPr>
            </w:pPr>
          </w:p>
          <w:p w14:paraId="72F69206" w14:textId="0A99A833" w:rsidR="0001345D" w:rsidRDefault="0001345D" w:rsidP="00467144">
            <w:pPr>
              <w:jc w:val="both"/>
              <w:rPr>
                <w:rFonts w:ascii="Times New Roman" w:eastAsia="Calibri" w:hAnsi="Times New Roman" w:cs="Times New Roman"/>
                <w:bCs/>
                <w:sz w:val="24"/>
                <w:szCs w:val="24"/>
                <w:lang w:eastAsia="lv-LV"/>
              </w:rPr>
            </w:pPr>
            <w:r w:rsidRPr="0001345D">
              <w:rPr>
                <w:rFonts w:ascii="Times New Roman" w:eastAsia="Calibri" w:hAnsi="Times New Roman" w:cs="Times New Roman"/>
                <w:bCs/>
                <w:sz w:val="24"/>
                <w:szCs w:val="24"/>
                <w:lang w:eastAsia="lv-LV"/>
              </w:rPr>
              <w:t>MK noteikumu 15.4.apakšpunkts nosaka, ka uz atbalstu nevar pretendēt projekta iesniedzējs, kas darbojas primārajā lauksaimniecības nozarē. Vai tas nozīmē, ka jebkurā gadījumā, arī, ja primārā lauksaimniecība ir tikai viena no darbības nozarēm, uz atbalstu nevar pretendēt?</w:t>
            </w:r>
          </w:p>
        </w:tc>
      </w:tr>
      <w:tr w:rsidR="0001345D" w:rsidRPr="00AF2308" w14:paraId="080FE738" w14:textId="77777777" w:rsidTr="00BF2BA6">
        <w:tc>
          <w:tcPr>
            <w:tcW w:w="10461" w:type="dxa"/>
            <w:tcBorders>
              <w:top w:val="single" w:sz="4" w:space="0" w:color="auto"/>
              <w:left w:val="single" w:sz="4" w:space="0" w:color="auto"/>
              <w:bottom w:val="single" w:sz="4" w:space="0" w:color="auto"/>
              <w:right w:val="single" w:sz="4" w:space="0" w:color="auto"/>
            </w:tcBorders>
            <w:shd w:val="clear" w:color="auto" w:fill="auto"/>
          </w:tcPr>
          <w:p w14:paraId="0744E4E2" w14:textId="77777777" w:rsidR="0001345D" w:rsidRDefault="0001345D"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Atbilde uz 11.jautājumu:</w:t>
            </w:r>
          </w:p>
          <w:p w14:paraId="1323E340" w14:textId="77777777" w:rsidR="0001345D" w:rsidRDefault="0001345D" w:rsidP="00467144">
            <w:pPr>
              <w:jc w:val="both"/>
              <w:rPr>
                <w:rFonts w:ascii="Times New Roman" w:eastAsia="Calibri" w:hAnsi="Times New Roman" w:cs="Times New Roman"/>
                <w:bCs/>
                <w:sz w:val="24"/>
                <w:szCs w:val="24"/>
                <w:lang w:eastAsia="lv-LV"/>
              </w:rPr>
            </w:pPr>
          </w:p>
          <w:p w14:paraId="1011705A" w14:textId="40EC4F16" w:rsidR="0001345D" w:rsidRDefault="0001345D"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G</w:t>
            </w:r>
            <w:r w:rsidRPr="0001345D">
              <w:rPr>
                <w:rFonts w:ascii="Times New Roman" w:eastAsia="Calibri" w:hAnsi="Times New Roman" w:cs="Times New Roman"/>
                <w:bCs/>
                <w:sz w:val="24"/>
                <w:szCs w:val="24"/>
                <w:lang w:eastAsia="lv-LV"/>
              </w:rPr>
              <w:t>adījumos, ja uzņēmums darbojas divās vai vairāk nozarēs, kur viena no tām ir neatbalstāma</w:t>
            </w:r>
            <w:r>
              <w:rPr>
                <w:rFonts w:ascii="Times New Roman" w:eastAsia="Calibri" w:hAnsi="Times New Roman" w:cs="Times New Roman"/>
                <w:bCs/>
                <w:sz w:val="24"/>
                <w:szCs w:val="24"/>
                <w:lang w:eastAsia="lv-LV"/>
              </w:rPr>
              <w:t>, t.sk. MK noteikumu 15.4.apakšpunktā noteiktā,</w:t>
            </w:r>
            <w:r w:rsidRPr="0001345D">
              <w:rPr>
                <w:rFonts w:ascii="Times New Roman" w:eastAsia="Calibri" w:hAnsi="Times New Roman" w:cs="Times New Roman"/>
                <w:bCs/>
                <w:sz w:val="24"/>
                <w:szCs w:val="24"/>
                <w:lang w:eastAsia="lv-LV"/>
              </w:rPr>
              <w:t xml:space="preserve"> uzņēmums</w:t>
            </w:r>
            <w:r>
              <w:rPr>
                <w:rFonts w:ascii="Times New Roman" w:eastAsia="Calibri" w:hAnsi="Times New Roman" w:cs="Times New Roman"/>
                <w:bCs/>
                <w:sz w:val="24"/>
                <w:szCs w:val="24"/>
                <w:lang w:eastAsia="lv-LV"/>
              </w:rPr>
              <w:t>,</w:t>
            </w:r>
            <w:r w:rsidRPr="0001345D">
              <w:rPr>
                <w:rFonts w:ascii="Times New Roman" w:eastAsia="Calibri" w:hAnsi="Times New Roman" w:cs="Times New Roman"/>
                <w:bCs/>
                <w:sz w:val="24"/>
                <w:szCs w:val="24"/>
                <w:lang w:eastAsia="lv-LV"/>
              </w:rPr>
              <w:t xml:space="preserve"> saņemot atbalstu</w:t>
            </w:r>
            <w:r>
              <w:rPr>
                <w:rFonts w:ascii="Times New Roman" w:eastAsia="Calibri" w:hAnsi="Times New Roman" w:cs="Times New Roman"/>
                <w:bCs/>
                <w:sz w:val="24"/>
                <w:szCs w:val="24"/>
                <w:lang w:eastAsia="lv-LV"/>
              </w:rPr>
              <w:t>,</w:t>
            </w:r>
            <w:r w:rsidRPr="0001345D">
              <w:rPr>
                <w:rFonts w:ascii="Times New Roman" w:eastAsia="Calibri" w:hAnsi="Times New Roman" w:cs="Times New Roman"/>
                <w:bCs/>
                <w:sz w:val="24"/>
                <w:szCs w:val="24"/>
                <w:lang w:eastAsia="lv-LV"/>
              </w:rPr>
              <w:t xml:space="preserve"> nevar nodalīt izmaksas vai darbības tā, lai tā darbības kādā konkrētā nozarē negūst labumu piešķirtā atbalsta ietvaros, </w:t>
            </w:r>
            <w:r>
              <w:rPr>
                <w:rFonts w:ascii="Times New Roman" w:eastAsia="Calibri" w:hAnsi="Times New Roman" w:cs="Times New Roman"/>
                <w:bCs/>
                <w:sz w:val="24"/>
                <w:szCs w:val="24"/>
                <w:lang w:eastAsia="lv-LV"/>
              </w:rPr>
              <w:t xml:space="preserve">līdz ar to šāds uzņēmums uz </w:t>
            </w:r>
            <w:r w:rsidRPr="0001345D">
              <w:rPr>
                <w:rFonts w:ascii="Times New Roman" w:eastAsia="Calibri" w:hAnsi="Times New Roman" w:cs="Times New Roman"/>
                <w:bCs/>
                <w:sz w:val="24"/>
                <w:szCs w:val="24"/>
                <w:lang w:eastAsia="lv-LV"/>
              </w:rPr>
              <w:t>atbalstu</w:t>
            </w:r>
            <w:r>
              <w:rPr>
                <w:rFonts w:ascii="Times New Roman" w:eastAsia="Calibri" w:hAnsi="Times New Roman" w:cs="Times New Roman"/>
                <w:bCs/>
                <w:sz w:val="24"/>
                <w:szCs w:val="24"/>
                <w:lang w:eastAsia="lv-LV"/>
              </w:rPr>
              <w:t xml:space="preserve"> SAMP 3.1.1.3. ietvaros</w:t>
            </w:r>
            <w:r w:rsidRPr="0001345D">
              <w:rPr>
                <w:rFonts w:ascii="Times New Roman" w:eastAsia="Calibri" w:hAnsi="Times New Roman" w:cs="Times New Roman"/>
                <w:bCs/>
                <w:sz w:val="24"/>
                <w:szCs w:val="24"/>
                <w:lang w:eastAsia="lv-LV"/>
              </w:rPr>
              <w:t xml:space="preserve"> nevar </w:t>
            </w:r>
            <w:r>
              <w:rPr>
                <w:rFonts w:ascii="Times New Roman" w:eastAsia="Calibri" w:hAnsi="Times New Roman" w:cs="Times New Roman"/>
                <w:bCs/>
                <w:sz w:val="24"/>
                <w:szCs w:val="24"/>
                <w:lang w:eastAsia="lv-LV"/>
              </w:rPr>
              <w:t>pretendēt</w:t>
            </w:r>
            <w:r w:rsidR="00BF2BA6">
              <w:rPr>
                <w:rFonts w:ascii="Times New Roman" w:eastAsia="Calibri" w:hAnsi="Times New Roman" w:cs="Times New Roman"/>
                <w:bCs/>
                <w:sz w:val="24"/>
                <w:szCs w:val="24"/>
                <w:lang w:eastAsia="lv-LV"/>
              </w:rPr>
              <w:t>.</w:t>
            </w:r>
          </w:p>
        </w:tc>
      </w:tr>
      <w:tr w:rsidR="00BF2BA6" w:rsidRPr="00AF2308" w14:paraId="63D02A38" w14:textId="77777777" w:rsidTr="0001345D">
        <w:tc>
          <w:tcPr>
            <w:tcW w:w="10461" w:type="dxa"/>
            <w:tcBorders>
              <w:top w:val="single" w:sz="4" w:space="0" w:color="auto"/>
              <w:left w:val="single" w:sz="4" w:space="0" w:color="auto"/>
              <w:bottom w:val="single" w:sz="4" w:space="0" w:color="auto"/>
              <w:right w:val="single" w:sz="4" w:space="0" w:color="auto"/>
            </w:tcBorders>
            <w:shd w:val="clear" w:color="auto" w:fill="E7E6E6" w:themeFill="background2"/>
          </w:tcPr>
          <w:p w14:paraId="693D942A" w14:textId="77777777" w:rsidR="00BF2BA6" w:rsidRDefault="00BF2BA6"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12.jautājums:</w:t>
            </w:r>
          </w:p>
          <w:p w14:paraId="4E6D7B3E" w14:textId="77777777" w:rsidR="00BF2BA6" w:rsidRDefault="00BF2BA6" w:rsidP="00467144">
            <w:pPr>
              <w:jc w:val="both"/>
              <w:rPr>
                <w:rFonts w:ascii="Times New Roman" w:eastAsia="Calibri" w:hAnsi="Times New Roman" w:cs="Times New Roman"/>
                <w:bCs/>
                <w:sz w:val="24"/>
                <w:szCs w:val="24"/>
                <w:lang w:eastAsia="lv-LV"/>
              </w:rPr>
            </w:pPr>
          </w:p>
          <w:p w14:paraId="35AA5D75" w14:textId="63A1D885" w:rsidR="00BF2BA6" w:rsidRDefault="00BF2BA6"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Ja p</w:t>
            </w:r>
            <w:r w:rsidRPr="00BF2BA6">
              <w:rPr>
                <w:rFonts w:ascii="Times New Roman" w:eastAsia="Calibri" w:hAnsi="Times New Roman" w:cs="Times New Roman"/>
                <w:bCs/>
                <w:sz w:val="24"/>
                <w:szCs w:val="24"/>
                <w:lang w:eastAsia="lv-LV"/>
              </w:rPr>
              <w:t xml:space="preserve">rojekta iesniedzējs darbojas </w:t>
            </w:r>
            <w:r>
              <w:rPr>
                <w:rFonts w:ascii="Times New Roman" w:eastAsia="Calibri" w:hAnsi="Times New Roman" w:cs="Times New Roman"/>
                <w:bCs/>
                <w:sz w:val="24"/>
                <w:szCs w:val="24"/>
                <w:lang w:eastAsia="lv-LV"/>
              </w:rPr>
              <w:t>atbalstāmajā nozarē, bet</w:t>
            </w:r>
            <w:r w:rsidRPr="00BF2BA6">
              <w:rPr>
                <w:rFonts w:ascii="Times New Roman" w:eastAsia="Calibri" w:hAnsi="Times New Roman" w:cs="Times New Roman"/>
                <w:bCs/>
                <w:sz w:val="24"/>
                <w:szCs w:val="24"/>
                <w:lang w:eastAsia="lv-LV"/>
              </w:rPr>
              <w:t xml:space="preserve"> investīcijas piesaista ar nolūku investēt meitas uzņēmumā, kas darbojas </w:t>
            </w:r>
            <w:r>
              <w:rPr>
                <w:rFonts w:ascii="Times New Roman" w:eastAsia="Calibri" w:hAnsi="Times New Roman" w:cs="Times New Roman"/>
                <w:bCs/>
                <w:sz w:val="24"/>
                <w:szCs w:val="24"/>
                <w:lang w:eastAsia="lv-LV"/>
              </w:rPr>
              <w:t>neatbalstāmajā nozarē, vai uz atbalstu SAMP 3.1.1.3. ietvaros var pretendēt?</w:t>
            </w:r>
          </w:p>
        </w:tc>
      </w:tr>
      <w:tr w:rsidR="00BF2BA6" w:rsidRPr="00AF2308" w14:paraId="4E6BF67C" w14:textId="77777777" w:rsidTr="00BF2BA6">
        <w:tc>
          <w:tcPr>
            <w:tcW w:w="10461" w:type="dxa"/>
            <w:tcBorders>
              <w:top w:val="single" w:sz="4" w:space="0" w:color="auto"/>
              <w:left w:val="single" w:sz="4" w:space="0" w:color="auto"/>
              <w:bottom w:val="single" w:sz="4" w:space="0" w:color="auto"/>
              <w:right w:val="single" w:sz="4" w:space="0" w:color="auto"/>
            </w:tcBorders>
            <w:shd w:val="clear" w:color="auto" w:fill="auto"/>
          </w:tcPr>
          <w:p w14:paraId="48E317D9" w14:textId="77777777" w:rsidR="00BF2BA6" w:rsidRDefault="00BF2BA6"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Atbilde uz 12.jautājumu:</w:t>
            </w:r>
          </w:p>
          <w:p w14:paraId="40FD973E" w14:textId="77777777" w:rsidR="00BF2BA6" w:rsidRDefault="00BF2BA6" w:rsidP="00467144">
            <w:pPr>
              <w:jc w:val="both"/>
              <w:rPr>
                <w:rFonts w:ascii="Times New Roman" w:eastAsia="Calibri" w:hAnsi="Times New Roman" w:cs="Times New Roman"/>
                <w:bCs/>
                <w:sz w:val="24"/>
                <w:szCs w:val="24"/>
                <w:lang w:eastAsia="lv-LV"/>
              </w:rPr>
            </w:pPr>
          </w:p>
          <w:p w14:paraId="37BC5093" w14:textId="6317B699" w:rsidR="00BF2BA6" w:rsidRDefault="00BF2BA6"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G</w:t>
            </w:r>
            <w:r w:rsidRPr="00BF2BA6">
              <w:rPr>
                <w:rFonts w:ascii="Times New Roman" w:eastAsia="Calibri" w:hAnsi="Times New Roman" w:cs="Times New Roman"/>
                <w:bCs/>
                <w:sz w:val="24"/>
                <w:szCs w:val="24"/>
                <w:lang w:eastAsia="lv-LV"/>
              </w:rPr>
              <w:t>adījumos, ja mātes uzņēmums darbojas atbalstāmajā nozarē, bet meitas uzņēmums darbojas neatbalstāmajā nozarē vai daļēji, tad, lai arī abi uzņēmumi jāvērtē kopsakarā, ir secināms, ka var izsekot naudas plūsmai un attiecīgi mātes uzņēmums var pretendēt uz atbalstu, ja tas biznesa plānā norāda, kādiem mērķiem un tālākām investīcijām tiks novirzīts atbalsts un tas neskar šo meitas uzņēmumu jeb nav mērķēts ne-primāro darbības nozaru attīstībai.</w:t>
            </w:r>
          </w:p>
        </w:tc>
      </w:tr>
      <w:tr w:rsidR="00BF2BA6" w:rsidRPr="00AF2308" w14:paraId="622447B5" w14:textId="77777777" w:rsidTr="000542AC">
        <w:tc>
          <w:tcPr>
            <w:tcW w:w="10461" w:type="dxa"/>
            <w:tcBorders>
              <w:top w:val="single" w:sz="4" w:space="0" w:color="auto"/>
              <w:left w:val="single" w:sz="4" w:space="0" w:color="auto"/>
              <w:bottom w:val="single" w:sz="4" w:space="0" w:color="auto"/>
              <w:right w:val="single" w:sz="4" w:space="0" w:color="auto"/>
            </w:tcBorders>
            <w:shd w:val="clear" w:color="auto" w:fill="E7E6E6" w:themeFill="background2"/>
          </w:tcPr>
          <w:p w14:paraId="31050F18" w14:textId="77777777" w:rsidR="00BF2BA6" w:rsidRDefault="00BF2BA6"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13.jautājums:</w:t>
            </w:r>
          </w:p>
          <w:p w14:paraId="4B894B51" w14:textId="77777777" w:rsidR="00BF2BA6" w:rsidRDefault="00BF2BA6" w:rsidP="00467144">
            <w:pPr>
              <w:jc w:val="both"/>
              <w:rPr>
                <w:rFonts w:ascii="Times New Roman" w:eastAsia="Calibri" w:hAnsi="Times New Roman" w:cs="Times New Roman"/>
                <w:bCs/>
                <w:sz w:val="24"/>
                <w:szCs w:val="24"/>
                <w:lang w:eastAsia="lv-LV"/>
              </w:rPr>
            </w:pPr>
          </w:p>
          <w:p w14:paraId="153C5AF2" w14:textId="194B4517" w:rsidR="00BF2BA6" w:rsidRPr="00BF2BA6" w:rsidRDefault="00BF2BA6" w:rsidP="00BF2BA6">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Uzņēmums</w:t>
            </w:r>
            <w:r w:rsidRPr="00BF2BA6">
              <w:rPr>
                <w:rFonts w:ascii="Times New Roman" w:eastAsia="Calibri" w:hAnsi="Times New Roman" w:cs="Times New Roman"/>
                <w:bCs/>
                <w:sz w:val="24"/>
                <w:szCs w:val="24"/>
                <w:lang w:eastAsia="lv-LV"/>
              </w:rPr>
              <w:t xml:space="preserve">, kura akcijas ir iekļautas </w:t>
            </w:r>
            <w:proofErr w:type="spellStart"/>
            <w:r w:rsidRPr="00BF2BA6">
              <w:rPr>
                <w:rFonts w:ascii="Times New Roman" w:eastAsia="Calibri" w:hAnsi="Times New Roman" w:cs="Times New Roman"/>
                <w:bCs/>
                <w:sz w:val="24"/>
                <w:szCs w:val="24"/>
                <w:lang w:eastAsia="lv-LV"/>
              </w:rPr>
              <w:t>Nasdaq</w:t>
            </w:r>
            <w:proofErr w:type="spellEnd"/>
            <w:r w:rsidRPr="00BF2BA6">
              <w:rPr>
                <w:rFonts w:ascii="Times New Roman" w:eastAsia="Calibri" w:hAnsi="Times New Roman" w:cs="Times New Roman"/>
                <w:bCs/>
                <w:sz w:val="24"/>
                <w:szCs w:val="24"/>
                <w:lang w:eastAsia="lv-LV"/>
              </w:rPr>
              <w:t xml:space="preserve"> tirgū, plāno palielināt pamatkapitālu. Plānots, ka pamatkapitāls tiek palielināts emitējot jaunas akcijas, kuras tiek apmaksātas a) ar mantisko ieguldījumu un b) naudā. Plānots, ka </w:t>
            </w:r>
            <w:proofErr w:type="spellStart"/>
            <w:r w:rsidRPr="00BF2BA6">
              <w:rPr>
                <w:rFonts w:ascii="Times New Roman" w:eastAsia="Calibri" w:hAnsi="Times New Roman" w:cs="Times New Roman"/>
                <w:bCs/>
                <w:sz w:val="24"/>
                <w:szCs w:val="24"/>
                <w:lang w:eastAsia="lv-LV"/>
              </w:rPr>
              <w:t>jaunizlaist</w:t>
            </w:r>
            <w:r w:rsidR="000542AC">
              <w:rPr>
                <w:rFonts w:ascii="Times New Roman" w:eastAsia="Calibri" w:hAnsi="Times New Roman" w:cs="Times New Roman"/>
                <w:bCs/>
                <w:sz w:val="24"/>
                <w:szCs w:val="24"/>
                <w:lang w:eastAsia="lv-LV"/>
              </w:rPr>
              <w:t>ā</w:t>
            </w:r>
            <w:r w:rsidRPr="00BF2BA6">
              <w:rPr>
                <w:rFonts w:ascii="Times New Roman" w:eastAsia="Calibri" w:hAnsi="Times New Roman" w:cs="Times New Roman"/>
                <w:bCs/>
                <w:sz w:val="24"/>
                <w:szCs w:val="24"/>
                <w:lang w:eastAsia="lv-LV"/>
              </w:rPr>
              <w:t>s</w:t>
            </w:r>
            <w:proofErr w:type="spellEnd"/>
            <w:r w:rsidRPr="00BF2BA6">
              <w:rPr>
                <w:rFonts w:ascii="Times New Roman" w:eastAsia="Calibri" w:hAnsi="Times New Roman" w:cs="Times New Roman"/>
                <w:bCs/>
                <w:sz w:val="24"/>
                <w:szCs w:val="24"/>
                <w:lang w:eastAsia="lv-LV"/>
              </w:rPr>
              <w:t xml:space="preserve"> akcijas arī tiks iekļautas </w:t>
            </w:r>
            <w:proofErr w:type="spellStart"/>
            <w:r w:rsidRPr="00BF2BA6">
              <w:rPr>
                <w:rFonts w:ascii="Times New Roman" w:eastAsia="Calibri" w:hAnsi="Times New Roman" w:cs="Times New Roman"/>
                <w:bCs/>
                <w:sz w:val="24"/>
                <w:szCs w:val="24"/>
                <w:lang w:eastAsia="lv-LV"/>
              </w:rPr>
              <w:t>Nasdaq</w:t>
            </w:r>
            <w:proofErr w:type="spellEnd"/>
            <w:r w:rsidRPr="00BF2BA6">
              <w:rPr>
                <w:rFonts w:ascii="Times New Roman" w:eastAsia="Calibri" w:hAnsi="Times New Roman" w:cs="Times New Roman"/>
                <w:bCs/>
                <w:sz w:val="24"/>
                <w:szCs w:val="24"/>
                <w:lang w:eastAsia="lv-LV"/>
              </w:rPr>
              <w:t xml:space="preserve"> tirgū.</w:t>
            </w:r>
          </w:p>
          <w:p w14:paraId="61FDD6BF" w14:textId="6490F84B" w:rsidR="00BF2BA6" w:rsidRDefault="000542AC" w:rsidP="00BF2BA6">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V</w:t>
            </w:r>
            <w:r w:rsidR="00BF2BA6" w:rsidRPr="00BF2BA6">
              <w:rPr>
                <w:rFonts w:ascii="Times New Roman" w:eastAsia="Calibri" w:hAnsi="Times New Roman" w:cs="Times New Roman"/>
                <w:bCs/>
                <w:sz w:val="24"/>
                <w:szCs w:val="24"/>
                <w:lang w:eastAsia="lv-LV"/>
              </w:rPr>
              <w:t xml:space="preserve">ai šī emisija </w:t>
            </w:r>
            <w:r>
              <w:rPr>
                <w:rFonts w:ascii="Times New Roman" w:eastAsia="Calibri" w:hAnsi="Times New Roman" w:cs="Times New Roman"/>
                <w:bCs/>
                <w:sz w:val="24"/>
                <w:szCs w:val="24"/>
                <w:lang w:eastAsia="lv-LV"/>
              </w:rPr>
              <w:t>SAMP 3.1.1.3. programmā</w:t>
            </w:r>
            <w:r w:rsidR="00BF2BA6" w:rsidRPr="00BF2BA6">
              <w:rPr>
                <w:rFonts w:ascii="Times New Roman" w:eastAsia="Calibri" w:hAnsi="Times New Roman" w:cs="Times New Roman"/>
                <w:bCs/>
                <w:sz w:val="24"/>
                <w:szCs w:val="24"/>
                <w:lang w:eastAsia="lv-LV"/>
              </w:rPr>
              <w:t>? Ja jā, kādi būtu pieteikšanās termiņi?</w:t>
            </w:r>
          </w:p>
        </w:tc>
      </w:tr>
      <w:tr w:rsidR="000542AC" w:rsidRPr="00AF2308" w14:paraId="63CBE7AC" w14:textId="77777777" w:rsidTr="000542AC">
        <w:tc>
          <w:tcPr>
            <w:tcW w:w="10461" w:type="dxa"/>
            <w:tcBorders>
              <w:top w:val="single" w:sz="4" w:space="0" w:color="auto"/>
              <w:left w:val="single" w:sz="4" w:space="0" w:color="auto"/>
              <w:bottom w:val="single" w:sz="4" w:space="0" w:color="auto"/>
              <w:right w:val="single" w:sz="4" w:space="0" w:color="auto"/>
            </w:tcBorders>
            <w:shd w:val="clear" w:color="auto" w:fill="auto"/>
          </w:tcPr>
          <w:p w14:paraId="38DF8698" w14:textId="77777777" w:rsidR="000542AC" w:rsidRDefault="000542AC" w:rsidP="00467144">
            <w:pPr>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Atbilde uz 13.jautājumu:</w:t>
            </w:r>
          </w:p>
          <w:p w14:paraId="69A80053" w14:textId="77777777" w:rsidR="000542AC" w:rsidRDefault="000542AC" w:rsidP="00467144">
            <w:pPr>
              <w:jc w:val="both"/>
              <w:rPr>
                <w:rFonts w:ascii="Times New Roman" w:eastAsia="Calibri" w:hAnsi="Times New Roman" w:cs="Times New Roman"/>
                <w:bCs/>
                <w:sz w:val="24"/>
                <w:szCs w:val="24"/>
                <w:lang w:eastAsia="lv-LV"/>
              </w:rPr>
            </w:pPr>
          </w:p>
          <w:p w14:paraId="51405F04" w14:textId="3D65EB54" w:rsidR="000542AC" w:rsidRPr="000542AC" w:rsidRDefault="009834C3" w:rsidP="000542AC">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w:t>
            </w:r>
            <w:r w:rsidR="000542AC" w:rsidRPr="000542AC">
              <w:rPr>
                <w:rFonts w:ascii="Times New Roman" w:eastAsia="Calibri" w:hAnsi="Times New Roman" w:cs="Times New Roman"/>
                <w:sz w:val="24"/>
                <w:szCs w:val="24"/>
                <w:lang w:eastAsia="lv-LV"/>
              </w:rPr>
              <w:t>retendēt uz finansējumu SAM</w:t>
            </w:r>
            <w:r w:rsidR="000542AC">
              <w:rPr>
                <w:rFonts w:ascii="Times New Roman" w:eastAsia="Calibri" w:hAnsi="Times New Roman" w:cs="Times New Roman"/>
                <w:sz w:val="24"/>
                <w:szCs w:val="24"/>
                <w:lang w:eastAsia="lv-LV"/>
              </w:rPr>
              <w:t>P</w:t>
            </w:r>
            <w:r w:rsidR="000542AC" w:rsidRPr="000542AC">
              <w:rPr>
                <w:rFonts w:ascii="Times New Roman" w:eastAsia="Calibri" w:hAnsi="Times New Roman" w:cs="Times New Roman"/>
                <w:sz w:val="24"/>
                <w:szCs w:val="24"/>
                <w:lang w:eastAsia="lv-LV"/>
              </w:rPr>
              <w:t xml:space="preserve"> 3.1.1.3. ietvaros, emitējot papildus akcijas, ir iespējams, ja nav konstatējams zemāk minētais</w:t>
            </w:r>
            <w:r w:rsidR="000542AC" w:rsidRPr="000542AC">
              <w:rPr>
                <w:rFonts w:ascii="Times New Roman" w:eastAsia="Calibri" w:hAnsi="Times New Roman" w:cs="Times New Roman"/>
                <w:sz w:val="24"/>
                <w:szCs w:val="24"/>
                <w:vertAlign w:val="superscript"/>
                <w:lang w:eastAsia="lv-LV"/>
              </w:rPr>
              <w:footnoteReference w:id="1"/>
            </w:r>
            <w:r w:rsidR="000542AC" w:rsidRPr="000542AC">
              <w:rPr>
                <w:rFonts w:ascii="Times New Roman" w:eastAsia="Calibri" w:hAnsi="Times New Roman" w:cs="Times New Roman"/>
                <w:sz w:val="24"/>
                <w:szCs w:val="24"/>
                <w:lang w:eastAsia="lv-LV"/>
              </w:rPr>
              <w:t>:</w:t>
            </w:r>
          </w:p>
          <w:p w14:paraId="2D89EECD" w14:textId="1F324365" w:rsidR="000542AC" w:rsidRPr="000542AC" w:rsidRDefault="009834C3" w:rsidP="000542AC">
            <w:pPr>
              <w:numPr>
                <w:ilvl w:val="0"/>
                <w:numId w:val="23"/>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p</w:t>
            </w:r>
            <w:r w:rsidR="000542AC" w:rsidRPr="000542AC">
              <w:rPr>
                <w:rFonts w:ascii="Times New Roman" w:eastAsia="Calibri" w:hAnsi="Times New Roman" w:cs="Times New Roman"/>
                <w:sz w:val="24"/>
                <w:szCs w:val="24"/>
                <w:u w:val="single"/>
              </w:rPr>
              <w:t>ēdējo 24 mēnešu laikā</w:t>
            </w:r>
            <w:r w:rsidR="000542AC" w:rsidRPr="000542AC">
              <w:rPr>
                <w:rFonts w:ascii="Times New Roman" w:eastAsia="Calibri" w:hAnsi="Times New Roman" w:cs="Times New Roman"/>
                <w:sz w:val="24"/>
                <w:szCs w:val="24"/>
              </w:rPr>
              <w:t xml:space="preserve"> ir veikta kapitāla piesaiste, </w:t>
            </w:r>
            <w:r w:rsidR="000542AC" w:rsidRPr="000542AC">
              <w:rPr>
                <w:rFonts w:ascii="Times New Roman" w:eastAsia="Calibri" w:hAnsi="Times New Roman" w:cs="Times New Roman"/>
                <w:sz w:val="24"/>
                <w:szCs w:val="24"/>
                <w:u w:val="single"/>
              </w:rPr>
              <w:t>emitējot parāda vērtspapīrus</w:t>
            </w:r>
            <w:r w:rsidR="000542AC" w:rsidRPr="000542AC">
              <w:rPr>
                <w:rFonts w:ascii="Times New Roman" w:eastAsia="Calibri" w:hAnsi="Times New Roman" w:cs="Times New Roman"/>
                <w:sz w:val="24"/>
                <w:szCs w:val="24"/>
              </w:rPr>
              <w:t xml:space="preserve"> par kopējo summu, </w:t>
            </w:r>
            <w:r w:rsidR="000542AC" w:rsidRPr="000542AC">
              <w:rPr>
                <w:rFonts w:ascii="Times New Roman" w:eastAsia="Calibri" w:hAnsi="Times New Roman" w:cs="Times New Roman"/>
                <w:sz w:val="24"/>
                <w:szCs w:val="24"/>
                <w:u w:val="single"/>
              </w:rPr>
              <w:t>kas pārsniedz 1 000 000 EUR</w:t>
            </w:r>
            <w:r w:rsidR="000542AC" w:rsidRPr="000542AC">
              <w:rPr>
                <w:rFonts w:ascii="Times New Roman" w:eastAsia="Calibri" w:hAnsi="Times New Roman" w:cs="Times New Roman"/>
                <w:sz w:val="24"/>
                <w:szCs w:val="24"/>
              </w:rPr>
              <w:t>.</w:t>
            </w:r>
          </w:p>
          <w:p w14:paraId="1F9AF9DA" w14:textId="308AC085" w:rsidR="000542AC" w:rsidRPr="000542AC" w:rsidRDefault="009834C3" w:rsidP="000542AC">
            <w:pPr>
              <w:numPr>
                <w:ilvl w:val="0"/>
                <w:numId w:val="23"/>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542AC" w:rsidRPr="000542AC">
              <w:rPr>
                <w:rFonts w:ascii="Times New Roman" w:eastAsia="Calibri" w:hAnsi="Times New Roman" w:cs="Times New Roman"/>
                <w:sz w:val="24"/>
                <w:szCs w:val="24"/>
              </w:rPr>
              <w:t xml:space="preserve">rojekta iesnieguma iesniegšanas brīdī CFLA Tirdzniecības vietā </w:t>
            </w:r>
            <w:r w:rsidR="000542AC" w:rsidRPr="000542AC">
              <w:rPr>
                <w:rFonts w:ascii="Times New Roman" w:eastAsia="Calibri" w:hAnsi="Times New Roman" w:cs="Times New Roman"/>
                <w:sz w:val="24"/>
                <w:szCs w:val="24"/>
                <w:u w:val="single"/>
              </w:rPr>
              <w:t>nav emitētas visas spēkā esošās emisijas prospektā norādītās akcijas vai obligācijas</w:t>
            </w:r>
            <w:r w:rsidR="000542AC" w:rsidRPr="000542AC">
              <w:rPr>
                <w:rFonts w:ascii="Times New Roman" w:eastAsia="Calibri" w:hAnsi="Times New Roman" w:cs="Times New Roman"/>
                <w:sz w:val="24"/>
                <w:szCs w:val="24"/>
              </w:rPr>
              <w:t xml:space="preserve">. Tas nozīmē, ka tiek ļauts iesniegt pieteikumu tiem komersantiem, ja </w:t>
            </w:r>
            <w:r w:rsidR="000542AC" w:rsidRPr="000542AC">
              <w:rPr>
                <w:rFonts w:ascii="Times New Roman" w:eastAsia="Calibri" w:hAnsi="Times New Roman" w:cs="Times New Roman"/>
                <w:sz w:val="24"/>
                <w:szCs w:val="24"/>
                <w:u w:val="single"/>
              </w:rPr>
              <w:t>tie ir jau iepriekš kotējušies Tirdzniecības vietā</w:t>
            </w:r>
            <w:r w:rsidR="000542AC" w:rsidRPr="000542AC">
              <w:rPr>
                <w:rFonts w:ascii="Times New Roman" w:eastAsia="Calibri" w:hAnsi="Times New Roman" w:cs="Times New Roman"/>
                <w:sz w:val="24"/>
                <w:szCs w:val="24"/>
              </w:rPr>
              <w:t xml:space="preserve">, tomēr </w:t>
            </w:r>
            <w:r w:rsidR="000542AC" w:rsidRPr="000542AC">
              <w:rPr>
                <w:rFonts w:ascii="Times New Roman" w:eastAsia="Calibri" w:hAnsi="Times New Roman" w:cs="Times New Roman"/>
                <w:sz w:val="24"/>
                <w:szCs w:val="24"/>
                <w:u w:val="single"/>
              </w:rPr>
              <w:t xml:space="preserve">uz projekta iesnieguma </w:t>
            </w:r>
            <w:r w:rsidR="000542AC" w:rsidRPr="000542AC">
              <w:rPr>
                <w:rFonts w:ascii="Times New Roman" w:eastAsia="Calibri" w:hAnsi="Times New Roman" w:cs="Times New Roman"/>
                <w:sz w:val="24"/>
                <w:szCs w:val="24"/>
                <w:u w:val="single"/>
              </w:rPr>
              <w:lastRenderedPageBreak/>
              <w:t>iesniegšanas brīdi tiem nav spēkā esošs emisijas prospekts par akciju vai obligāciju emisiju Tirdzniecības vietā</w:t>
            </w:r>
            <w:r w:rsidR="000542AC" w:rsidRPr="000542AC">
              <w:rPr>
                <w:rFonts w:ascii="Times New Roman" w:eastAsia="Calibri" w:hAnsi="Times New Roman" w:cs="Times New Roman"/>
                <w:sz w:val="24"/>
                <w:szCs w:val="24"/>
              </w:rPr>
              <w:t>.</w:t>
            </w:r>
          </w:p>
          <w:p w14:paraId="176FEFB2" w14:textId="77777777" w:rsidR="000542AC" w:rsidRPr="000542AC" w:rsidRDefault="000542AC" w:rsidP="000542AC">
            <w:pPr>
              <w:jc w:val="both"/>
              <w:rPr>
                <w:rFonts w:ascii="Times New Roman" w:eastAsia="Calibri" w:hAnsi="Times New Roman" w:cs="Times New Roman"/>
                <w:sz w:val="24"/>
                <w:szCs w:val="24"/>
                <w:lang w:eastAsia="lv-LV"/>
              </w:rPr>
            </w:pPr>
          </w:p>
          <w:p w14:paraId="3C4B4ECA" w14:textId="3D745164" w:rsidR="000542AC" w:rsidRPr="000542AC" w:rsidRDefault="000542AC" w:rsidP="000542AC">
            <w:pPr>
              <w:jc w:val="both"/>
              <w:rPr>
                <w:rFonts w:ascii="Times New Roman" w:eastAsia="Calibri" w:hAnsi="Times New Roman" w:cs="Times New Roman"/>
                <w:sz w:val="24"/>
                <w:szCs w:val="24"/>
                <w:lang w:eastAsia="lv-LV"/>
              </w:rPr>
            </w:pPr>
            <w:r w:rsidRPr="000542AC">
              <w:rPr>
                <w:rFonts w:ascii="Times New Roman" w:eastAsia="Calibri" w:hAnsi="Times New Roman" w:cs="Times New Roman"/>
                <w:sz w:val="24"/>
                <w:szCs w:val="24"/>
                <w:lang w:eastAsia="lv-LV"/>
              </w:rPr>
              <w:t xml:space="preserve">Līdz ar to aicinām izvērtēt Jūsu situāciju kopsakarā ar iepriekš minētajiem nosacījumiem, kā arī citām prasībām un nosacījumiem, kas definēti SAM 3.1.1.3. </w:t>
            </w:r>
            <w:hyperlink r:id="rId22" w:history="1">
              <w:r w:rsidRPr="000542AC">
                <w:rPr>
                  <w:rFonts w:ascii="Times New Roman" w:eastAsia="Calibri" w:hAnsi="Times New Roman" w:cs="Times New Roman"/>
                  <w:color w:val="0000FF"/>
                  <w:sz w:val="24"/>
                  <w:szCs w:val="24"/>
                  <w:u w:val="single"/>
                  <w:lang w:eastAsia="lv-LV"/>
                </w:rPr>
                <w:t>noteikumos</w:t>
              </w:r>
            </w:hyperlink>
            <w:r w:rsidRPr="000542AC">
              <w:rPr>
                <w:rFonts w:ascii="Times New Roman" w:eastAsia="Calibri" w:hAnsi="Times New Roman" w:cs="Times New Roman"/>
                <w:sz w:val="24"/>
                <w:szCs w:val="24"/>
                <w:vertAlign w:val="superscript"/>
                <w:lang w:eastAsia="lv-LV"/>
              </w:rPr>
              <w:footnoteReference w:id="2"/>
            </w:r>
            <w:r w:rsidRPr="000542AC">
              <w:rPr>
                <w:rFonts w:ascii="Times New Roman" w:eastAsia="Calibri" w:hAnsi="Times New Roman" w:cs="Times New Roman"/>
                <w:sz w:val="24"/>
                <w:szCs w:val="24"/>
                <w:lang w:eastAsia="lv-LV"/>
              </w:rPr>
              <w:t xml:space="preserve"> un atlases procesu paskaidrojošos dokumentos, kas pieejami CFLA </w:t>
            </w:r>
            <w:hyperlink r:id="rId23" w:history="1">
              <w:r w:rsidRPr="000542AC">
                <w:rPr>
                  <w:rFonts w:ascii="Times New Roman" w:eastAsia="Calibri" w:hAnsi="Times New Roman" w:cs="Times New Roman"/>
                  <w:color w:val="0000FF"/>
                  <w:sz w:val="24"/>
                  <w:szCs w:val="24"/>
                  <w:u w:val="single"/>
                  <w:lang w:eastAsia="lv-LV"/>
                </w:rPr>
                <w:t>interneta vietnē</w:t>
              </w:r>
            </w:hyperlink>
            <w:r w:rsidRPr="000542AC">
              <w:rPr>
                <w:rFonts w:ascii="Times New Roman" w:eastAsia="Calibri" w:hAnsi="Times New Roman" w:cs="Times New Roman"/>
                <w:sz w:val="24"/>
                <w:szCs w:val="24"/>
                <w:lang w:eastAsia="lv-LV"/>
              </w:rPr>
              <w:t>.</w:t>
            </w:r>
          </w:p>
          <w:p w14:paraId="301A6E08" w14:textId="77777777" w:rsidR="000542AC" w:rsidRPr="000542AC" w:rsidRDefault="000542AC" w:rsidP="000542AC">
            <w:pPr>
              <w:jc w:val="both"/>
              <w:rPr>
                <w:rFonts w:ascii="Times New Roman" w:eastAsia="Calibri" w:hAnsi="Times New Roman" w:cs="Times New Roman"/>
                <w:sz w:val="24"/>
                <w:szCs w:val="24"/>
                <w:lang w:eastAsia="lv-LV"/>
              </w:rPr>
            </w:pPr>
          </w:p>
          <w:p w14:paraId="00FBE9CC" w14:textId="16F20516" w:rsidR="000542AC" w:rsidRPr="000542AC" w:rsidRDefault="000542AC" w:rsidP="0030269E">
            <w:pPr>
              <w:jc w:val="both"/>
              <w:rPr>
                <w:rFonts w:ascii="Times New Roman" w:eastAsia="Calibri" w:hAnsi="Times New Roman" w:cs="Times New Roman"/>
                <w:sz w:val="24"/>
                <w:szCs w:val="24"/>
                <w:lang w:eastAsia="lv-LV"/>
              </w:rPr>
            </w:pPr>
            <w:r w:rsidRPr="000542AC">
              <w:rPr>
                <w:rFonts w:ascii="Times New Roman" w:eastAsia="Calibri" w:hAnsi="Times New Roman" w:cs="Times New Roman"/>
                <w:sz w:val="24"/>
                <w:szCs w:val="24"/>
                <w:lang w:eastAsia="lv-LV"/>
              </w:rPr>
              <w:t>Tāpat, gadījumā, ja Jūs</w:t>
            </w:r>
            <w:r w:rsidR="0030269E">
              <w:rPr>
                <w:rFonts w:ascii="Times New Roman" w:eastAsia="Calibri" w:hAnsi="Times New Roman" w:cs="Times New Roman"/>
                <w:sz w:val="24"/>
                <w:szCs w:val="24"/>
                <w:lang w:eastAsia="lv-LV"/>
              </w:rPr>
              <w:t xml:space="preserve"> </w:t>
            </w:r>
            <w:r w:rsidRPr="000542AC">
              <w:rPr>
                <w:rFonts w:ascii="Times New Roman" w:eastAsia="Calibri" w:hAnsi="Times New Roman" w:cs="Times New Roman"/>
                <w:sz w:val="24"/>
                <w:szCs w:val="24"/>
                <w:lang w:eastAsia="lv-LV"/>
              </w:rPr>
              <w:t>atbilst</w:t>
            </w:r>
            <w:r w:rsidR="0030269E">
              <w:rPr>
                <w:rFonts w:ascii="Times New Roman" w:eastAsia="Calibri" w:hAnsi="Times New Roman" w:cs="Times New Roman"/>
                <w:sz w:val="24"/>
                <w:szCs w:val="24"/>
                <w:lang w:eastAsia="lv-LV"/>
              </w:rPr>
              <w:t>at</w:t>
            </w:r>
            <w:r w:rsidRPr="000542AC">
              <w:rPr>
                <w:rFonts w:ascii="Times New Roman" w:eastAsia="Calibri" w:hAnsi="Times New Roman" w:cs="Times New Roman"/>
                <w:sz w:val="24"/>
                <w:szCs w:val="24"/>
                <w:lang w:eastAsia="lv-LV"/>
              </w:rPr>
              <w:t xml:space="preserve"> SAM 3.1.1.3. nosacījumiem, informējam, ka SAM 3.1.1.3. projektu iesniegumu atlases </w:t>
            </w:r>
            <w:r w:rsidRPr="000542AC">
              <w:rPr>
                <w:rFonts w:ascii="Times New Roman" w:eastAsia="Calibri" w:hAnsi="Times New Roman" w:cs="Times New Roman"/>
                <w:sz w:val="24"/>
                <w:szCs w:val="24"/>
                <w:u w:val="single"/>
                <w:lang w:eastAsia="lv-LV"/>
              </w:rPr>
              <w:t xml:space="preserve">pirmā </w:t>
            </w:r>
            <w:r w:rsidRPr="000542AC">
              <w:rPr>
                <w:rFonts w:ascii="Times New Roman" w:eastAsia="Calibri" w:hAnsi="Times New Roman" w:cs="Times New Roman"/>
                <w:sz w:val="24"/>
                <w:szCs w:val="24"/>
                <w:lang w:eastAsia="lv-LV"/>
              </w:rPr>
              <w:t xml:space="preserve">kārta noslēdzas jau drīz - 2020.gada 5.septembrī. Tā kā </w:t>
            </w:r>
            <w:r w:rsidRPr="000542AC">
              <w:rPr>
                <w:rFonts w:ascii="Times New Roman" w:eastAsia="Calibri" w:hAnsi="Times New Roman" w:cs="Times New Roman"/>
                <w:color w:val="000000"/>
                <w:sz w:val="24"/>
                <w:szCs w:val="24"/>
                <w:shd w:val="clear" w:color="auto" w:fill="FFFFFF"/>
                <w:lang w:eastAsia="lv-LV"/>
              </w:rPr>
              <w:t>5.septembris ir sestdiena, tad par atlases termiņa pēdējo dienu skaitāma nākamā darba diena, līdz ar to pro</w:t>
            </w:r>
            <w:r w:rsidRPr="000542AC">
              <w:rPr>
                <w:rFonts w:ascii="Times New Roman" w:eastAsia="Calibri" w:hAnsi="Times New Roman" w:cs="Times New Roman"/>
                <w:sz w:val="24"/>
                <w:szCs w:val="24"/>
                <w:lang w:eastAsia="lv-LV"/>
              </w:rPr>
              <w:t>jektu iesniegumu iesniegšana KPVIS</w:t>
            </w:r>
            <w:r w:rsidRPr="000542AC">
              <w:rPr>
                <w:rFonts w:ascii="Times New Roman" w:eastAsia="Calibri" w:hAnsi="Times New Roman" w:cs="Times New Roman"/>
                <w:sz w:val="24"/>
                <w:szCs w:val="24"/>
                <w:vertAlign w:val="superscript"/>
                <w:lang w:eastAsia="lv-LV"/>
              </w:rPr>
              <w:footnoteReference w:id="3"/>
            </w:r>
            <w:r w:rsidRPr="000542AC">
              <w:rPr>
                <w:rFonts w:ascii="Times New Roman" w:eastAsia="Calibri" w:hAnsi="Times New Roman" w:cs="Times New Roman"/>
                <w:sz w:val="24"/>
                <w:szCs w:val="24"/>
                <w:lang w:eastAsia="lv-LV"/>
              </w:rPr>
              <w:t xml:space="preserve"> ir jānodrošina ne vēlāk kā līdz </w:t>
            </w:r>
            <w:r w:rsidRPr="000542AC">
              <w:rPr>
                <w:rFonts w:ascii="Times New Roman" w:eastAsia="Calibri" w:hAnsi="Times New Roman" w:cs="Times New Roman"/>
                <w:sz w:val="24"/>
                <w:szCs w:val="24"/>
                <w:u w:val="single"/>
                <w:lang w:eastAsia="lv-LV"/>
              </w:rPr>
              <w:t>2020.gada 7.septembrim.</w:t>
            </w:r>
          </w:p>
          <w:p w14:paraId="5B44F61F" w14:textId="77777777" w:rsidR="000542AC" w:rsidRPr="000542AC" w:rsidRDefault="000542AC" w:rsidP="0030269E">
            <w:pPr>
              <w:jc w:val="both"/>
              <w:rPr>
                <w:rFonts w:ascii="Times New Roman" w:eastAsia="Calibri" w:hAnsi="Times New Roman" w:cs="Times New Roman"/>
                <w:sz w:val="24"/>
                <w:szCs w:val="24"/>
                <w:lang w:eastAsia="lv-LV"/>
              </w:rPr>
            </w:pPr>
          </w:p>
          <w:p w14:paraId="545BE0CC" w14:textId="5DB9D6D6" w:rsidR="000542AC" w:rsidRPr="0030269E" w:rsidRDefault="000542AC" w:rsidP="00467144">
            <w:pPr>
              <w:jc w:val="both"/>
              <w:rPr>
                <w:rFonts w:ascii="Times New Roman" w:eastAsia="Calibri" w:hAnsi="Times New Roman" w:cs="Times New Roman"/>
                <w:sz w:val="24"/>
                <w:szCs w:val="24"/>
                <w:lang w:eastAsia="lv-LV"/>
              </w:rPr>
            </w:pPr>
            <w:r w:rsidRPr="000542AC">
              <w:rPr>
                <w:rFonts w:ascii="Times New Roman" w:eastAsia="Calibri" w:hAnsi="Times New Roman" w:cs="Times New Roman"/>
                <w:sz w:val="24"/>
                <w:szCs w:val="24"/>
                <w:lang w:eastAsia="lv-LV"/>
              </w:rPr>
              <w:t xml:space="preserve">Vienlaikus vēršam uzmanību un  skaidrojam, ka tā kā pasākuma atlases īstenošanas veids ir atklāta projektu iesniegumu atlase, kas balstās uz konkurences principiem, CFLA plāno organizēt </w:t>
            </w:r>
            <w:r w:rsidRPr="000542AC">
              <w:rPr>
                <w:rFonts w:ascii="Times New Roman" w:eastAsia="Calibri" w:hAnsi="Times New Roman" w:cs="Times New Roman"/>
                <w:sz w:val="24"/>
                <w:szCs w:val="24"/>
                <w:u w:val="single"/>
                <w:lang w:eastAsia="lv-LV"/>
              </w:rPr>
              <w:t>vairākās kārtās</w:t>
            </w:r>
            <w:r w:rsidRPr="000542AC">
              <w:rPr>
                <w:rFonts w:ascii="Times New Roman" w:eastAsia="Calibri" w:hAnsi="Times New Roman" w:cs="Times New Roman"/>
                <w:sz w:val="24"/>
                <w:szCs w:val="24"/>
                <w:lang w:eastAsia="lv-LV"/>
              </w:rPr>
              <w:t xml:space="preserve"> ar regularitāti vienreiz ceturksnī (t.i., vērtējot  katrā ceturksnī iesniegtos projektus) </w:t>
            </w:r>
            <w:r w:rsidRPr="000542AC">
              <w:rPr>
                <w:rFonts w:ascii="Times New Roman" w:eastAsia="Calibri" w:hAnsi="Times New Roman" w:cs="Times New Roman"/>
                <w:sz w:val="24"/>
                <w:szCs w:val="24"/>
                <w:u w:val="single"/>
                <w:lang w:eastAsia="lv-LV"/>
              </w:rPr>
              <w:t>līdz brīdim, kad tiek nokontraktēts viss pasākumam pieejamais finansējums</w:t>
            </w:r>
            <w:r w:rsidRPr="000542AC">
              <w:rPr>
                <w:rFonts w:ascii="Times New Roman" w:eastAsia="Calibri" w:hAnsi="Times New Roman" w:cs="Times New Roman"/>
                <w:sz w:val="24"/>
                <w:szCs w:val="24"/>
                <w:lang w:eastAsia="lv-LV"/>
              </w:rPr>
              <w:t xml:space="preserve">. Tātad pastāv iespējamība, ka ir turpmākas atlases kārtas, gadījumā, ja projekta iesniegšanu nespējat nodrošināt uz SAM 3.1.1.3. projektu iesniegumu atlases </w:t>
            </w:r>
            <w:r w:rsidRPr="000542AC">
              <w:rPr>
                <w:rFonts w:ascii="Times New Roman" w:eastAsia="Calibri" w:hAnsi="Times New Roman" w:cs="Times New Roman"/>
                <w:sz w:val="24"/>
                <w:szCs w:val="24"/>
                <w:u w:val="single"/>
                <w:lang w:eastAsia="lv-LV"/>
              </w:rPr>
              <w:t>pirmā kārtu</w:t>
            </w:r>
            <w:r w:rsidRPr="000542AC">
              <w:rPr>
                <w:rFonts w:ascii="Times New Roman" w:eastAsia="Calibri" w:hAnsi="Times New Roman" w:cs="Times New Roman"/>
                <w:sz w:val="24"/>
                <w:szCs w:val="24"/>
                <w:lang w:eastAsia="lv-LV"/>
              </w:rPr>
              <w:t>.</w:t>
            </w:r>
            <w:bookmarkStart w:id="0" w:name="_GoBack"/>
            <w:bookmarkEnd w:id="0"/>
          </w:p>
        </w:tc>
      </w:tr>
    </w:tbl>
    <w:p w14:paraId="76281E56" w14:textId="77777777" w:rsidR="0053357C" w:rsidRPr="00AF2308" w:rsidRDefault="0053357C"/>
    <w:sectPr w:rsidR="0053357C" w:rsidRPr="00AF2308" w:rsidSect="000167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B3FC" w14:textId="77777777" w:rsidR="00425BF8" w:rsidRDefault="00425BF8" w:rsidP="00016798">
      <w:pPr>
        <w:spacing w:after="0" w:line="240" w:lineRule="auto"/>
      </w:pPr>
      <w:r>
        <w:separator/>
      </w:r>
    </w:p>
  </w:endnote>
  <w:endnote w:type="continuationSeparator" w:id="0">
    <w:p w14:paraId="27DC95E0" w14:textId="77777777" w:rsidR="00425BF8" w:rsidRDefault="00425BF8" w:rsidP="0001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131E" w14:textId="77777777" w:rsidR="00425BF8" w:rsidRDefault="00425BF8" w:rsidP="00016798">
      <w:pPr>
        <w:spacing w:after="0" w:line="240" w:lineRule="auto"/>
      </w:pPr>
      <w:r>
        <w:separator/>
      </w:r>
    </w:p>
  </w:footnote>
  <w:footnote w:type="continuationSeparator" w:id="0">
    <w:p w14:paraId="419D4DAF" w14:textId="77777777" w:rsidR="00425BF8" w:rsidRDefault="00425BF8" w:rsidP="00016798">
      <w:pPr>
        <w:spacing w:after="0" w:line="240" w:lineRule="auto"/>
      </w:pPr>
      <w:r>
        <w:continuationSeparator/>
      </w:r>
    </w:p>
  </w:footnote>
  <w:footnote w:id="1">
    <w:p w14:paraId="550D0BF8" w14:textId="0A01BF8C" w:rsidR="000542AC" w:rsidRDefault="000542AC" w:rsidP="000542AC">
      <w:pPr>
        <w:pStyle w:val="FootnoteText"/>
      </w:pPr>
      <w:r>
        <w:rPr>
          <w:rStyle w:val="FootnoteReference"/>
        </w:rPr>
        <w:footnoteRef/>
      </w:r>
      <w:r>
        <w:t xml:space="preserve"> Saskaņā ar SAM 3.1.1.3 Ministru kabineta noteikumos 15.5.un 15.6.p un šo noteikumu  anotācijā noteikto</w:t>
      </w:r>
      <w:r w:rsidR="009834C3">
        <w:t>.</w:t>
      </w:r>
    </w:p>
  </w:footnote>
  <w:footnote w:id="2">
    <w:p w14:paraId="70910541" w14:textId="77777777" w:rsidR="000542AC" w:rsidRDefault="000542AC" w:rsidP="000542AC">
      <w:pPr>
        <w:shd w:val="clear" w:color="auto" w:fill="FFFFFF"/>
        <w:spacing w:before="100" w:beforeAutospacing="1" w:after="100" w:afterAutospacing="1" w:line="240" w:lineRule="auto"/>
        <w:jc w:val="both"/>
        <w:rPr>
          <w:rFonts w:eastAsia="Times New Roman" w:cs="Calibri"/>
          <w:bCs/>
          <w:color w:val="414142"/>
          <w:sz w:val="20"/>
          <w:szCs w:val="20"/>
        </w:rPr>
      </w:pPr>
      <w:r>
        <w:rPr>
          <w:rStyle w:val="FootnoteReference"/>
        </w:rPr>
        <w:footnoteRef/>
      </w:r>
      <w:r>
        <w:t xml:space="preserve"> </w:t>
      </w:r>
      <w:r>
        <w:rPr>
          <w:rFonts w:cs="Calibri"/>
          <w:sz w:val="20"/>
          <w:szCs w:val="20"/>
        </w:rPr>
        <w:t>M</w:t>
      </w:r>
      <w:r>
        <w:rPr>
          <w:rFonts w:eastAsia="Times New Roman" w:cs="Calibri"/>
          <w:bCs/>
          <w:color w:val="414142"/>
          <w:sz w:val="20"/>
          <w:szCs w:val="20"/>
        </w:rPr>
        <w:t xml:space="preserve">inistru kabineta </w:t>
      </w:r>
      <w:r>
        <w:rPr>
          <w:rFonts w:eastAsia="Times New Roman" w:cs="Calibri"/>
          <w:color w:val="414142"/>
          <w:sz w:val="20"/>
          <w:szCs w:val="20"/>
        </w:rPr>
        <w:t>2020. gada 21. janvāra</w:t>
      </w:r>
      <w:r>
        <w:rPr>
          <w:rFonts w:eastAsia="Times New Roman" w:cs="Calibri"/>
          <w:bCs/>
          <w:color w:val="414142"/>
          <w:sz w:val="20"/>
          <w:szCs w:val="20"/>
        </w:rPr>
        <w:t xml:space="preserve"> noteikumi Nr. 35</w:t>
      </w:r>
      <w:r>
        <w:rPr>
          <w:rFonts w:eastAsia="Times New Roman" w:cs="Calibri"/>
          <w:color w:val="414142"/>
          <w:sz w:val="20"/>
          <w:szCs w:val="20"/>
        </w:rPr>
        <w:br/>
      </w:r>
      <w:r>
        <w:rPr>
          <w:rFonts w:eastAsia="Times New Roman" w:cs="Calibri"/>
          <w:bCs/>
          <w:color w:val="414142"/>
          <w:sz w:val="20"/>
          <w:szCs w:val="20"/>
        </w:rPr>
        <w:t>“Darbības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w:t>
      </w:r>
    </w:p>
    <w:p w14:paraId="0683787E" w14:textId="77777777" w:rsidR="000542AC" w:rsidRDefault="000542AC" w:rsidP="000542AC">
      <w:pPr>
        <w:pStyle w:val="FootnoteText"/>
        <w:rPr>
          <w:rFonts w:eastAsia="Calibri"/>
        </w:rPr>
      </w:pPr>
    </w:p>
  </w:footnote>
  <w:footnote w:id="3">
    <w:p w14:paraId="7CB22035" w14:textId="77777777" w:rsidR="000542AC" w:rsidRDefault="000542AC" w:rsidP="000542AC">
      <w:pPr>
        <w:pStyle w:val="FootnoteText"/>
      </w:pPr>
      <w:r>
        <w:rPr>
          <w:rStyle w:val="FootnoteReference"/>
        </w:rPr>
        <w:footnoteRef/>
      </w:r>
      <w:r>
        <w:t xml:space="preserve"> </w:t>
      </w:r>
      <w:hyperlink r:id="rId1" w:history="1">
        <w:r>
          <w:rPr>
            <w:rStyle w:val="Hyperlink"/>
          </w:rPr>
          <w:t>K</w:t>
        </w:r>
        <w:r>
          <w:rPr>
            <w:rStyle w:val="Hyperlink"/>
            <w:rFonts w:cs="Calibri"/>
            <w:bCs/>
          </w:rPr>
          <w:t>ohēzijas politikas fondu vadības informācijas sistēma</w:t>
        </w:r>
      </w:hyperlink>
      <w:r>
        <w:rPr>
          <w:rFonts w:cs="Calibri"/>
          <w:bCs/>
          <w:color w:val="414142"/>
        </w:rPr>
        <w:t xml:space="preserve"> - </w:t>
      </w:r>
      <w:proofErr w:type="spellStart"/>
      <w:r>
        <w:rPr>
          <w:rFonts w:cs="Calibri"/>
          <w:bCs/>
          <w:color w:val="414142"/>
        </w:rPr>
        <w:t>skat.arī</w:t>
      </w:r>
      <w:proofErr w:type="spellEnd"/>
      <w:r>
        <w:rPr>
          <w:rFonts w:cs="Calibri"/>
          <w:bCs/>
          <w:color w:val="414142"/>
        </w:rPr>
        <w:t xml:space="preserve"> informāciju kā kļūt par lietotāju </w:t>
      </w:r>
      <w:r>
        <w:t>CFLA interneta vietnē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29A"/>
    <w:multiLevelType w:val="multilevel"/>
    <w:tmpl w:val="F7A03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837CC9"/>
    <w:multiLevelType w:val="hybridMultilevel"/>
    <w:tmpl w:val="FA82EED6"/>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A753E8A"/>
    <w:multiLevelType w:val="hybridMultilevel"/>
    <w:tmpl w:val="CB4805A2"/>
    <w:lvl w:ilvl="0" w:tplc="8C26EFDA">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DD47E4F"/>
    <w:multiLevelType w:val="hybridMultilevel"/>
    <w:tmpl w:val="FD0EB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356DDB"/>
    <w:multiLevelType w:val="hybridMultilevel"/>
    <w:tmpl w:val="9DB6F194"/>
    <w:lvl w:ilvl="0" w:tplc="04260011">
      <w:start w:val="1"/>
      <w:numFmt w:val="decimal"/>
      <w:lvlText w:val="%1)"/>
      <w:lvlJc w:val="left"/>
      <w:pPr>
        <w:ind w:left="720" w:hanging="360"/>
      </w:pPr>
    </w:lvl>
    <w:lvl w:ilvl="1" w:tplc="04260019">
      <w:start w:val="1"/>
      <w:numFmt w:val="lowerLetter"/>
      <w:lvlText w:val="%2."/>
      <w:lvlJc w:val="left"/>
      <w:pPr>
        <w:ind w:left="644"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0CC5EF6"/>
    <w:multiLevelType w:val="hybridMultilevel"/>
    <w:tmpl w:val="BFC8D3CE"/>
    <w:lvl w:ilvl="0" w:tplc="338023E6">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3ED0466"/>
    <w:multiLevelType w:val="hybridMultilevel"/>
    <w:tmpl w:val="37F2B0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3713924"/>
    <w:multiLevelType w:val="hybridMultilevel"/>
    <w:tmpl w:val="3E021B8C"/>
    <w:lvl w:ilvl="0" w:tplc="04260019">
      <w:start w:val="1"/>
      <w:numFmt w:val="lowerLetter"/>
      <w:lvlText w:val="%1."/>
      <w:lvlJc w:val="left"/>
      <w:pPr>
        <w:ind w:left="360" w:hanging="360"/>
      </w:pPr>
    </w:lvl>
    <w:lvl w:ilvl="1" w:tplc="F082488A">
      <w:start w:val="1"/>
      <w:numFmt w:val="bullet"/>
      <w:lvlText w:val=""/>
      <w:lvlJc w:val="left"/>
      <w:pPr>
        <w:ind w:left="1080" w:hanging="360"/>
      </w:pPr>
      <w:rPr>
        <w:rFonts w:ascii="Symbol" w:hAnsi="Symbol"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388D315F"/>
    <w:multiLevelType w:val="hybridMultilevel"/>
    <w:tmpl w:val="7FC8B052"/>
    <w:lvl w:ilvl="0" w:tplc="A58A1686">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C217C56"/>
    <w:multiLevelType w:val="hybridMultilevel"/>
    <w:tmpl w:val="8422818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E354A12"/>
    <w:multiLevelType w:val="hybridMultilevel"/>
    <w:tmpl w:val="282A1D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3067F89"/>
    <w:multiLevelType w:val="multilevel"/>
    <w:tmpl w:val="1546887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E11BF7"/>
    <w:multiLevelType w:val="hybridMultilevel"/>
    <w:tmpl w:val="25268FB4"/>
    <w:lvl w:ilvl="0" w:tplc="04260011">
      <w:start w:val="1"/>
      <w:numFmt w:val="decimal"/>
      <w:lvlText w:val="%1)"/>
      <w:lvlJc w:val="left"/>
      <w:pPr>
        <w:ind w:left="720" w:hanging="360"/>
      </w:pPr>
    </w:lvl>
    <w:lvl w:ilvl="1" w:tplc="04090017">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990588C"/>
    <w:multiLevelType w:val="hybridMultilevel"/>
    <w:tmpl w:val="7654FBB6"/>
    <w:lvl w:ilvl="0" w:tplc="F08248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1913FC"/>
    <w:multiLevelType w:val="multilevel"/>
    <w:tmpl w:val="A08206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61960751"/>
    <w:multiLevelType w:val="hybridMultilevel"/>
    <w:tmpl w:val="E7F41C6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337103E"/>
    <w:multiLevelType w:val="hybridMultilevel"/>
    <w:tmpl w:val="AFCC97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EC25B02"/>
    <w:multiLevelType w:val="hybridMultilevel"/>
    <w:tmpl w:val="2CD44DAC"/>
    <w:lvl w:ilvl="0" w:tplc="F08248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DD65ED"/>
    <w:multiLevelType w:val="hybridMultilevel"/>
    <w:tmpl w:val="9530EE7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9" w15:restartNumberingAfterBreak="0">
    <w:nsid w:val="797855B2"/>
    <w:multiLevelType w:val="hybridMultilevel"/>
    <w:tmpl w:val="2E306A9C"/>
    <w:lvl w:ilvl="0" w:tplc="6366A55A">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CE95657"/>
    <w:multiLevelType w:val="multilevel"/>
    <w:tmpl w:val="CC62656A"/>
    <w:lvl w:ilvl="0">
      <w:start w:val="1"/>
      <w:numFmt w:val="decimal"/>
      <w:lvlText w:val="%1."/>
      <w:lvlJc w:val="left"/>
      <w:pPr>
        <w:ind w:left="720" w:hanging="360"/>
      </w:pPr>
      <w:rPr>
        <w:rFonts w:ascii="Times New Roman" w:eastAsia="ヒラギノ角ゴ Pro W3" w:hAnsi="Times New Roman" w:cs="Times New Roman"/>
        <w:color w:val="auto"/>
      </w:rPr>
    </w:lvl>
    <w:lvl w:ilvl="1">
      <w:start w:val="1"/>
      <w:numFmt w:val="decimal"/>
      <w:lvlText w:val="%2."/>
      <w:lvlJc w:val="left"/>
      <w:pPr>
        <w:ind w:left="1148" w:hanging="405"/>
      </w:pPr>
      <w:rPr>
        <w:rFonts w:ascii="Calibri" w:eastAsia="ヒラギノ角ゴ Pro W3" w:hAnsi="Calibri" w:cs="Times New Roman" w:hint="default"/>
        <w:b w:val="0"/>
        <w:color w:val="auto"/>
      </w:rPr>
    </w:lvl>
    <w:lvl w:ilvl="2">
      <w:start w:val="1"/>
      <w:numFmt w:val="decimal"/>
      <w:isLgl/>
      <w:lvlText w:val="%1.%2.%3."/>
      <w:lvlJc w:val="left"/>
      <w:pPr>
        <w:ind w:left="1846" w:hanging="720"/>
      </w:pPr>
      <w:rPr>
        <w:b w:val="0"/>
      </w:rPr>
    </w:lvl>
    <w:lvl w:ilvl="3">
      <w:start w:val="1"/>
      <w:numFmt w:val="decimal"/>
      <w:isLgl/>
      <w:lvlText w:val="%1.%2.%3.%4."/>
      <w:lvlJc w:val="left"/>
      <w:pPr>
        <w:ind w:left="2229" w:hanging="720"/>
      </w:pPr>
      <w:rPr>
        <w:b w:val="0"/>
      </w:rPr>
    </w:lvl>
    <w:lvl w:ilvl="4">
      <w:start w:val="1"/>
      <w:numFmt w:val="decimal"/>
      <w:isLgl/>
      <w:lvlText w:val="%1.%2.%3.%4.%5."/>
      <w:lvlJc w:val="left"/>
      <w:pPr>
        <w:ind w:left="2972" w:hanging="1080"/>
      </w:pPr>
      <w:rPr>
        <w:b w:val="0"/>
      </w:rPr>
    </w:lvl>
    <w:lvl w:ilvl="5">
      <w:start w:val="1"/>
      <w:numFmt w:val="decimal"/>
      <w:isLgl/>
      <w:lvlText w:val="%1.%2.%3.%4.%5.%6."/>
      <w:lvlJc w:val="left"/>
      <w:pPr>
        <w:ind w:left="3355" w:hanging="1080"/>
      </w:pPr>
      <w:rPr>
        <w:b w:val="0"/>
      </w:rPr>
    </w:lvl>
    <w:lvl w:ilvl="6">
      <w:start w:val="1"/>
      <w:numFmt w:val="decimal"/>
      <w:isLgl/>
      <w:lvlText w:val="%1.%2.%3.%4.%5.%6.%7."/>
      <w:lvlJc w:val="left"/>
      <w:pPr>
        <w:ind w:left="4098" w:hanging="1440"/>
      </w:pPr>
      <w:rPr>
        <w:b w:val="0"/>
      </w:rPr>
    </w:lvl>
    <w:lvl w:ilvl="7">
      <w:start w:val="1"/>
      <w:numFmt w:val="decimal"/>
      <w:isLgl/>
      <w:lvlText w:val="%1.%2.%3.%4.%5.%6.%7.%8."/>
      <w:lvlJc w:val="left"/>
      <w:pPr>
        <w:ind w:left="4481" w:hanging="1440"/>
      </w:pPr>
      <w:rPr>
        <w:b w:val="0"/>
      </w:rPr>
    </w:lvl>
    <w:lvl w:ilvl="8">
      <w:start w:val="1"/>
      <w:numFmt w:val="decimal"/>
      <w:isLgl/>
      <w:lvlText w:val="%1.%2.%3.%4.%5.%6.%7.%8.%9."/>
      <w:lvlJc w:val="left"/>
      <w:pPr>
        <w:ind w:left="5224" w:hanging="1800"/>
      </w:pPr>
      <w:rPr>
        <w:b w:val="0"/>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98"/>
    <w:rsid w:val="00000073"/>
    <w:rsid w:val="0001345D"/>
    <w:rsid w:val="00016798"/>
    <w:rsid w:val="000542AC"/>
    <w:rsid w:val="000D50F4"/>
    <w:rsid w:val="00105625"/>
    <w:rsid w:val="00117514"/>
    <w:rsid w:val="00117EAF"/>
    <w:rsid w:val="0017082F"/>
    <w:rsid w:val="001B345E"/>
    <w:rsid w:val="001D0AEE"/>
    <w:rsid w:val="001D5BA4"/>
    <w:rsid w:val="001E659E"/>
    <w:rsid w:val="00290F6A"/>
    <w:rsid w:val="002E0112"/>
    <w:rsid w:val="0030269E"/>
    <w:rsid w:val="00325C3D"/>
    <w:rsid w:val="003739DE"/>
    <w:rsid w:val="003C2B9B"/>
    <w:rsid w:val="003C479F"/>
    <w:rsid w:val="003E343A"/>
    <w:rsid w:val="00420282"/>
    <w:rsid w:val="00425BF8"/>
    <w:rsid w:val="004475AB"/>
    <w:rsid w:val="00467144"/>
    <w:rsid w:val="004871D5"/>
    <w:rsid w:val="004875A6"/>
    <w:rsid w:val="004A785D"/>
    <w:rsid w:val="004D0554"/>
    <w:rsid w:val="00506548"/>
    <w:rsid w:val="005100D0"/>
    <w:rsid w:val="0053357C"/>
    <w:rsid w:val="005621C5"/>
    <w:rsid w:val="00597EE1"/>
    <w:rsid w:val="005B34D4"/>
    <w:rsid w:val="006B6932"/>
    <w:rsid w:val="006C4C9C"/>
    <w:rsid w:val="006F5847"/>
    <w:rsid w:val="00716422"/>
    <w:rsid w:val="007227FC"/>
    <w:rsid w:val="00736765"/>
    <w:rsid w:val="00737976"/>
    <w:rsid w:val="00795AAE"/>
    <w:rsid w:val="00860D99"/>
    <w:rsid w:val="00881FCD"/>
    <w:rsid w:val="00895A13"/>
    <w:rsid w:val="009310D6"/>
    <w:rsid w:val="009834C3"/>
    <w:rsid w:val="009D0404"/>
    <w:rsid w:val="00A17086"/>
    <w:rsid w:val="00A6191C"/>
    <w:rsid w:val="00A9588B"/>
    <w:rsid w:val="00AD79A9"/>
    <w:rsid w:val="00AE224D"/>
    <w:rsid w:val="00AF2308"/>
    <w:rsid w:val="00B0320E"/>
    <w:rsid w:val="00B14FC0"/>
    <w:rsid w:val="00B356F2"/>
    <w:rsid w:val="00B4640E"/>
    <w:rsid w:val="00BA349A"/>
    <w:rsid w:val="00BB7B14"/>
    <w:rsid w:val="00BF2BA6"/>
    <w:rsid w:val="00C13B6A"/>
    <w:rsid w:val="00CA7D51"/>
    <w:rsid w:val="00D2465B"/>
    <w:rsid w:val="00D44D27"/>
    <w:rsid w:val="00D80B32"/>
    <w:rsid w:val="00E37882"/>
    <w:rsid w:val="00E55F25"/>
    <w:rsid w:val="00E86305"/>
    <w:rsid w:val="00EA4D7B"/>
    <w:rsid w:val="00ED619D"/>
    <w:rsid w:val="00EF2166"/>
    <w:rsid w:val="00EF28FC"/>
    <w:rsid w:val="00F0719E"/>
    <w:rsid w:val="00F17D44"/>
    <w:rsid w:val="00F769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2956"/>
  <w15:chartTrackingRefBased/>
  <w15:docId w15:val="{7BA51610-9220-4492-A3E2-6E4B5AFF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6798"/>
  </w:style>
  <w:style w:type="paragraph" w:styleId="ListParagraph">
    <w:name w:val="List Paragraph"/>
    <w:aliases w:val="H&amp;P List Paragraph,2,Strip,List Paragraph1,List Paragraph11,Normal bullet 2,Bullet list,Saraksta rindkopa1"/>
    <w:basedOn w:val="Normal"/>
    <w:link w:val="ListParagraphChar"/>
    <w:uiPriority w:val="34"/>
    <w:qFormat/>
    <w:rsid w:val="00016798"/>
    <w:pPr>
      <w:ind w:left="720"/>
      <w:contextualSpacing/>
    </w:pPr>
  </w:style>
  <w:style w:type="character" w:styleId="Hyperlink">
    <w:name w:val="Hyperlink"/>
    <w:basedOn w:val="DefaultParagraphFont"/>
    <w:uiPriority w:val="99"/>
    <w:unhideWhenUsed/>
    <w:rsid w:val="00016798"/>
    <w:rPr>
      <w:color w:val="0563C1" w:themeColor="hyperlink"/>
      <w:u w:val="single"/>
    </w:rPr>
  </w:style>
  <w:style w:type="paragraph" w:customStyle="1" w:styleId="Default">
    <w:name w:val="Default"/>
    <w:basedOn w:val="Normal"/>
    <w:uiPriority w:val="99"/>
    <w:rsid w:val="00016798"/>
    <w:pPr>
      <w:autoSpaceDE w:val="0"/>
      <w:autoSpaceDN w:val="0"/>
      <w:spacing w:after="0"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016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98"/>
    <w:rPr>
      <w:rFonts w:ascii="Segoe UI" w:hAnsi="Segoe UI" w:cs="Segoe UI"/>
      <w:sz w:val="18"/>
      <w:szCs w:val="18"/>
    </w:rPr>
  </w:style>
  <w:style w:type="paragraph" w:styleId="NoSpacing">
    <w:name w:val="No Spacing"/>
    <w:basedOn w:val="Normal"/>
    <w:uiPriority w:val="1"/>
    <w:qFormat/>
    <w:rsid w:val="00016798"/>
    <w:pPr>
      <w:spacing w:after="0" w:line="240" w:lineRule="auto"/>
    </w:pPr>
    <w:rPr>
      <w:rFonts w:ascii="Calibri" w:hAnsi="Calibri" w:cs="Times New Roman"/>
      <w:color w:val="000000"/>
    </w:rPr>
  </w:style>
  <w:style w:type="character" w:customStyle="1" w:styleId="Virsraksts2Rakstz">
    <w:name w:val="Virsraksts 2 Rakstz."/>
    <w:basedOn w:val="DefaultParagraphFont"/>
    <w:link w:val="Virsraksts2"/>
    <w:uiPriority w:val="9"/>
    <w:locked/>
    <w:rsid w:val="00016798"/>
    <w:rPr>
      <w:rFonts w:ascii="Calibri Light" w:hAnsi="Calibri Light"/>
      <w:color w:val="2E74B5"/>
    </w:rPr>
  </w:style>
  <w:style w:type="paragraph" w:customStyle="1" w:styleId="Virsraksts2">
    <w:name w:val="Virsraksts 2"/>
    <w:basedOn w:val="Normal"/>
    <w:link w:val="Virsraksts2Rakstz"/>
    <w:uiPriority w:val="9"/>
    <w:rsid w:val="00016798"/>
    <w:pPr>
      <w:spacing w:after="0" w:line="240" w:lineRule="auto"/>
    </w:pPr>
    <w:rPr>
      <w:rFonts w:ascii="Calibri Light" w:hAnsi="Calibri Light"/>
      <w:color w:val="2E74B5"/>
    </w:rPr>
  </w:style>
  <w:style w:type="table" w:styleId="TableGrid">
    <w:name w:val="Table Grid"/>
    <w:basedOn w:val="TableNormal"/>
    <w:uiPriority w:val="39"/>
    <w:rsid w:val="0001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98"/>
  </w:style>
  <w:style w:type="paragraph" w:styleId="Footer">
    <w:name w:val="footer"/>
    <w:basedOn w:val="Normal"/>
    <w:link w:val="FooterChar"/>
    <w:uiPriority w:val="99"/>
    <w:unhideWhenUsed/>
    <w:rsid w:val="0001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98"/>
  </w:style>
  <w:style w:type="character" w:styleId="CommentReference">
    <w:name w:val="annotation reference"/>
    <w:basedOn w:val="DefaultParagraphFont"/>
    <w:uiPriority w:val="99"/>
    <w:semiHidden/>
    <w:unhideWhenUsed/>
    <w:rsid w:val="00016798"/>
    <w:rPr>
      <w:sz w:val="16"/>
      <w:szCs w:val="16"/>
    </w:rPr>
  </w:style>
  <w:style w:type="paragraph" w:styleId="CommentText">
    <w:name w:val="annotation text"/>
    <w:basedOn w:val="Normal"/>
    <w:link w:val="CommentTextChar"/>
    <w:uiPriority w:val="99"/>
    <w:semiHidden/>
    <w:unhideWhenUsed/>
    <w:rsid w:val="00016798"/>
    <w:pPr>
      <w:spacing w:line="240" w:lineRule="auto"/>
    </w:pPr>
    <w:rPr>
      <w:sz w:val="20"/>
      <w:szCs w:val="20"/>
    </w:rPr>
  </w:style>
  <w:style w:type="character" w:customStyle="1" w:styleId="CommentTextChar">
    <w:name w:val="Comment Text Char"/>
    <w:basedOn w:val="DefaultParagraphFont"/>
    <w:link w:val="CommentText"/>
    <w:uiPriority w:val="99"/>
    <w:semiHidden/>
    <w:rsid w:val="00016798"/>
    <w:rPr>
      <w:sz w:val="20"/>
      <w:szCs w:val="20"/>
    </w:rPr>
  </w:style>
  <w:style w:type="paragraph" w:styleId="CommentSubject">
    <w:name w:val="annotation subject"/>
    <w:basedOn w:val="CommentText"/>
    <w:next w:val="CommentText"/>
    <w:link w:val="CommentSubjectChar"/>
    <w:uiPriority w:val="99"/>
    <w:semiHidden/>
    <w:unhideWhenUsed/>
    <w:rsid w:val="00016798"/>
    <w:rPr>
      <w:b/>
      <w:bCs/>
    </w:rPr>
  </w:style>
  <w:style w:type="character" w:customStyle="1" w:styleId="CommentSubjectChar">
    <w:name w:val="Comment Subject Char"/>
    <w:basedOn w:val="CommentTextChar"/>
    <w:link w:val="CommentSubject"/>
    <w:uiPriority w:val="99"/>
    <w:semiHidden/>
    <w:rsid w:val="00016798"/>
    <w:rPr>
      <w:b/>
      <w:bCs/>
      <w:sz w:val="20"/>
      <w:szCs w:val="20"/>
    </w:rPr>
  </w:style>
  <w:style w:type="character" w:styleId="FollowedHyperlink">
    <w:name w:val="FollowedHyperlink"/>
    <w:basedOn w:val="DefaultParagraphFont"/>
    <w:uiPriority w:val="99"/>
    <w:semiHidden/>
    <w:unhideWhenUsed/>
    <w:rsid w:val="00016798"/>
    <w:rPr>
      <w:color w:val="954F72" w:themeColor="followedHyperlink"/>
      <w:u w:val="singl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01679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0167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016798"/>
    <w:rPr>
      <w:vertAlign w:val="superscript"/>
    </w:rPr>
  </w:style>
  <w:style w:type="paragraph" w:styleId="EndnoteText">
    <w:name w:val="endnote text"/>
    <w:basedOn w:val="Normal"/>
    <w:link w:val="EndnoteTextChar"/>
    <w:uiPriority w:val="99"/>
    <w:semiHidden/>
    <w:unhideWhenUsed/>
    <w:rsid w:val="000167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798"/>
    <w:rPr>
      <w:sz w:val="20"/>
      <w:szCs w:val="20"/>
    </w:rPr>
  </w:style>
  <w:style w:type="character" w:styleId="EndnoteReference">
    <w:name w:val="endnote reference"/>
    <w:basedOn w:val="DefaultParagraphFont"/>
    <w:uiPriority w:val="99"/>
    <w:semiHidden/>
    <w:unhideWhenUsed/>
    <w:rsid w:val="00016798"/>
    <w:rPr>
      <w:vertAlign w:val="superscript"/>
    </w:rPr>
  </w:style>
  <w:style w:type="character" w:customStyle="1" w:styleId="ListParagraphChar">
    <w:name w:val="List Paragraph Char"/>
    <w:aliases w:val="H&amp;P List Paragraph Char,2 Char,Strip Char,List Paragraph1 Char,List Paragraph11 Char,Normal bullet 2 Char,Bullet list Char,Saraksta rindkopa1 Char"/>
    <w:link w:val="ListParagraph"/>
    <w:uiPriority w:val="34"/>
    <w:qFormat/>
    <w:locked/>
    <w:rsid w:val="00016798"/>
  </w:style>
  <w:style w:type="character" w:styleId="UnresolvedMention">
    <w:name w:val="Unresolved Mention"/>
    <w:basedOn w:val="DefaultParagraphFont"/>
    <w:uiPriority w:val="99"/>
    <w:semiHidden/>
    <w:unhideWhenUsed/>
    <w:rsid w:val="00D44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198">
      <w:bodyDiv w:val="1"/>
      <w:marLeft w:val="0"/>
      <w:marRight w:val="0"/>
      <w:marTop w:val="0"/>
      <w:marBottom w:val="0"/>
      <w:divBdr>
        <w:top w:val="none" w:sz="0" w:space="0" w:color="auto"/>
        <w:left w:val="none" w:sz="0" w:space="0" w:color="auto"/>
        <w:bottom w:val="none" w:sz="0" w:space="0" w:color="auto"/>
        <w:right w:val="none" w:sz="0" w:space="0" w:color="auto"/>
      </w:divBdr>
    </w:div>
    <w:div w:id="128937458">
      <w:bodyDiv w:val="1"/>
      <w:marLeft w:val="0"/>
      <w:marRight w:val="0"/>
      <w:marTop w:val="0"/>
      <w:marBottom w:val="0"/>
      <w:divBdr>
        <w:top w:val="none" w:sz="0" w:space="0" w:color="auto"/>
        <w:left w:val="none" w:sz="0" w:space="0" w:color="auto"/>
        <w:bottom w:val="none" w:sz="0" w:space="0" w:color="auto"/>
        <w:right w:val="none" w:sz="0" w:space="0" w:color="auto"/>
      </w:divBdr>
    </w:div>
    <w:div w:id="143930549">
      <w:bodyDiv w:val="1"/>
      <w:marLeft w:val="0"/>
      <w:marRight w:val="0"/>
      <w:marTop w:val="0"/>
      <w:marBottom w:val="0"/>
      <w:divBdr>
        <w:top w:val="none" w:sz="0" w:space="0" w:color="auto"/>
        <w:left w:val="none" w:sz="0" w:space="0" w:color="auto"/>
        <w:bottom w:val="none" w:sz="0" w:space="0" w:color="auto"/>
        <w:right w:val="none" w:sz="0" w:space="0" w:color="auto"/>
      </w:divBdr>
    </w:div>
    <w:div w:id="185022473">
      <w:bodyDiv w:val="1"/>
      <w:marLeft w:val="0"/>
      <w:marRight w:val="0"/>
      <w:marTop w:val="0"/>
      <w:marBottom w:val="0"/>
      <w:divBdr>
        <w:top w:val="none" w:sz="0" w:space="0" w:color="auto"/>
        <w:left w:val="none" w:sz="0" w:space="0" w:color="auto"/>
        <w:bottom w:val="none" w:sz="0" w:space="0" w:color="auto"/>
        <w:right w:val="none" w:sz="0" w:space="0" w:color="auto"/>
      </w:divBdr>
    </w:div>
    <w:div w:id="214509377">
      <w:bodyDiv w:val="1"/>
      <w:marLeft w:val="0"/>
      <w:marRight w:val="0"/>
      <w:marTop w:val="0"/>
      <w:marBottom w:val="0"/>
      <w:divBdr>
        <w:top w:val="none" w:sz="0" w:space="0" w:color="auto"/>
        <w:left w:val="none" w:sz="0" w:space="0" w:color="auto"/>
        <w:bottom w:val="none" w:sz="0" w:space="0" w:color="auto"/>
        <w:right w:val="none" w:sz="0" w:space="0" w:color="auto"/>
      </w:divBdr>
    </w:div>
    <w:div w:id="410542843">
      <w:bodyDiv w:val="1"/>
      <w:marLeft w:val="0"/>
      <w:marRight w:val="0"/>
      <w:marTop w:val="0"/>
      <w:marBottom w:val="0"/>
      <w:divBdr>
        <w:top w:val="none" w:sz="0" w:space="0" w:color="auto"/>
        <w:left w:val="none" w:sz="0" w:space="0" w:color="auto"/>
        <w:bottom w:val="none" w:sz="0" w:space="0" w:color="auto"/>
        <w:right w:val="none" w:sz="0" w:space="0" w:color="auto"/>
      </w:divBdr>
    </w:div>
    <w:div w:id="447899319">
      <w:bodyDiv w:val="1"/>
      <w:marLeft w:val="0"/>
      <w:marRight w:val="0"/>
      <w:marTop w:val="0"/>
      <w:marBottom w:val="0"/>
      <w:divBdr>
        <w:top w:val="none" w:sz="0" w:space="0" w:color="auto"/>
        <w:left w:val="none" w:sz="0" w:space="0" w:color="auto"/>
        <w:bottom w:val="none" w:sz="0" w:space="0" w:color="auto"/>
        <w:right w:val="none" w:sz="0" w:space="0" w:color="auto"/>
      </w:divBdr>
    </w:div>
    <w:div w:id="518937259">
      <w:bodyDiv w:val="1"/>
      <w:marLeft w:val="0"/>
      <w:marRight w:val="0"/>
      <w:marTop w:val="0"/>
      <w:marBottom w:val="0"/>
      <w:divBdr>
        <w:top w:val="none" w:sz="0" w:space="0" w:color="auto"/>
        <w:left w:val="none" w:sz="0" w:space="0" w:color="auto"/>
        <w:bottom w:val="none" w:sz="0" w:space="0" w:color="auto"/>
        <w:right w:val="none" w:sz="0" w:space="0" w:color="auto"/>
      </w:divBdr>
    </w:div>
    <w:div w:id="573975095">
      <w:bodyDiv w:val="1"/>
      <w:marLeft w:val="0"/>
      <w:marRight w:val="0"/>
      <w:marTop w:val="0"/>
      <w:marBottom w:val="0"/>
      <w:divBdr>
        <w:top w:val="none" w:sz="0" w:space="0" w:color="auto"/>
        <w:left w:val="none" w:sz="0" w:space="0" w:color="auto"/>
        <w:bottom w:val="none" w:sz="0" w:space="0" w:color="auto"/>
        <w:right w:val="none" w:sz="0" w:space="0" w:color="auto"/>
      </w:divBdr>
    </w:div>
    <w:div w:id="608438207">
      <w:bodyDiv w:val="1"/>
      <w:marLeft w:val="0"/>
      <w:marRight w:val="0"/>
      <w:marTop w:val="0"/>
      <w:marBottom w:val="0"/>
      <w:divBdr>
        <w:top w:val="none" w:sz="0" w:space="0" w:color="auto"/>
        <w:left w:val="none" w:sz="0" w:space="0" w:color="auto"/>
        <w:bottom w:val="none" w:sz="0" w:space="0" w:color="auto"/>
        <w:right w:val="none" w:sz="0" w:space="0" w:color="auto"/>
      </w:divBdr>
    </w:div>
    <w:div w:id="662395508">
      <w:bodyDiv w:val="1"/>
      <w:marLeft w:val="0"/>
      <w:marRight w:val="0"/>
      <w:marTop w:val="0"/>
      <w:marBottom w:val="0"/>
      <w:divBdr>
        <w:top w:val="none" w:sz="0" w:space="0" w:color="auto"/>
        <w:left w:val="none" w:sz="0" w:space="0" w:color="auto"/>
        <w:bottom w:val="none" w:sz="0" w:space="0" w:color="auto"/>
        <w:right w:val="none" w:sz="0" w:space="0" w:color="auto"/>
      </w:divBdr>
    </w:div>
    <w:div w:id="670450002">
      <w:bodyDiv w:val="1"/>
      <w:marLeft w:val="0"/>
      <w:marRight w:val="0"/>
      <w:marTop w:val="0"/>
      <w:marBottom w:val="0"/>
      <w:divBdr>
        <w:top w:val="none" w:sz="0" w:space="0" w:color="auto"/>
        <w:left w:val="none" w:sz="0" w:space="0" w:color="auto"/>
        <w:bottom w:val="none" w:sz="0" w:space="0" w:color="auto"/>
        <w:right w:val="none" w:sz="0" w:space="0" w:color="auto"/>
      </w:divBdr>
    </w:div>
    <w:div w:id="742219099">
      <w:bodyDiv w:val="1"/>
      <w:marLeft w:val="0"/>
      <w:marRight w:val="0"/>
      <w:marTop w:val="0"/>
      <w:marBottom w:val="0"/>
      <w:divBdr>
        <w:top w:val="none" w:sz="0" w:space="0" w:color="auto"/>
        <w:left w:val="none" w:sz="0" w:space="0" w:color="auto"/>
        <w:bottom w:val="none" w:sz="0" w:space="0" w:color="auto"/>
        <w:right w:val="none" w:sz="0" w:space="0" w:color="auto"/>
      </w:divBdr>
    </w:div>
    <w:div w:id="765540737">
      <w:bodyDiv w:val="1"/>
      <w:marLeft w:val="0"/>
      <w:marRight w:val="0"/>
      <w:marTop w:val="0"/>
      <w:marBottom w:val="0"/>
      <w:divBdr>
        <w:top w:val="none" w:sz="0" w:space="0" w:color="auto"/>
        <w:left w:val="none" w:sz="0" w:space="0" w:color="auto"/>
        <w:bottom w:val="none" w:sz="0" w:space="0" w:color="auto"/>
        <w:right w:val="none" w:sz="0" w:space="0" w:color="auto"/>
      </w:divBdr>
    </w:div>
    <w:div w:id="765616965">
      <w:bodyDiv w:val="1"/>
      <w:marLeft w:val="0"/>
      <w:marRight w:val="0"/>
      <w:marTop w:val="0"/>
      <w:marBottom w:val="0"/>
      <w:divBdr>
        <w:top w:val="none" w:sz="0" w:space="0" w:color="auto"/>
        <w:left w:val="none" w:sz="0" w:space="0" w:color="auto"/>
        <w:bottom w:val="none" w:sz="0" w:space="0" w:color="auto"/>
        <w:right w:val="none" w:sz="0" w:space="0" w:color="auto"/>
      </w:divBdr>
    </w:div>
    <w:div w:id="801385477">
      <w:bodyDiv w:val="1"/>
      <w:marLeft w:val="0"/>
      <w:marRight w:val="0"/>
      <w:marTop w:val="0"/>
      <w:marBottom w:val="0"/>
      <w:divBdr>
        <w:top w:val="none" w:sz="0" w:space="0" w:color="auto"/>
        <w:left w:val="none" w:sz="0" w:space="0" w:color="auto"/>
        <w:bottom w:val="none" w:sz="0" w:space="0" w:color="auto"/>
        <w:right w:val="none" w:sz="0" w:space="0" w:color="auto"/>
      </w:divBdr>
    </w:div>
    <w:div w:id="927806172">
      <w:bodyDiv w:val="1"/>
      <w:marLeft w:val="0"/>
      <w:marRight w:val="0"/>
      <w:marTop w:val="0"/>
      <w:marBottom w:val="0"/>
      <w:divBdr>
        <w:top w:val="none" w:sz="0" w:space="0" w:color="auto"/>
        <w:left w:val="none" w:sz="0" w:space="0" w:color="auto"/>
        <w:bottom w:val="none" w:sz="0" w:space="0" w:color="auto"/>
        <w:right w:val="none" w:sz="0" w:space="0" w:color="auto"/>
      </w:divBdr>
    </w:div>
    <w:div w:id="946078375">
      <w:bodyDiv w:val="1"/>
      <w:marLeft w:val="0"/>
      <w:marRight w:val="0"/>
      <w:marTop w:val="0"/>
      <w:marBottom w:val="0"/>
      <w:divBdr>
        <w:top w:val="none" w:sz="0" w:space="0" w:color="auto"/>
        <w:left w:val="none" w:sz="0" w:space="0" w:color="auto"/>
        <w:bottom w:val="none" w:sz="0" w:space="0" w:color="auto"/>
        <w:right w:val="none" w:sz="0" w:space="0" w:color="auto"/>
      </w:divBdr>
    </w:div>
    <w:div w:id="956907864">
      <w:bodyDiv w:val="1"/>
      <w:marLeft w:val="0"/>
      <w:marRight w:val="0"/>
      <w:marTop w:val="0"/>
      <w:marBottom w:val="0"/>
      <w:divBdr>
        <w:top w:val="none" w:sz="0" w:space="0" w:color="auto"/>
        <w:left w:val="none" w:sz="0" w:space="0" w:color="auto"/>
        <w:bottom w:val="none" w:sz="0" w:space="0" w:color="auto"/>
        <w:right w:val="none" w:sz="0" w:space="0" w:color="auto"/>
      </w:divBdr>
    </w:div>
    <w:div w:id="1009865489">
      <w:bodyDiv w:val="1"/>
      <w:marLeft w:val="0"/>
      <w:marRight w:val="0"/>
      <w:marTop w:val="0"/>
      <w:marBottom w:val="0"/>
      <w:divBdr>
        <w:top w:val="none" w:sz="0" w:space="0" w:color="auto"/>
        <w:left w:val="none" w:sz="0" w:space="0" w:color="auto"/>
        <w:bottom w:val="none" w:sz="0" w:space="0" w:color="auto"/>
        <w:right w:val="none" w:sz="0" w:space="0" w:color="auto"/>
      </w:divBdr>
    </w:div>
    <w:div w:id="1093281337">
      <w:bodyDiv w:val="1"/>
      <w:marLeft w:val="0"/>
      <w:marRight w:val="0"/>
      <w:marTop w:val="0"/>
      <w:marBottom w:val="0"/>
      <w:divBdr>
        <w:top w:val="none" w:sz="0" w:space="0" w:color="auto"/>
        <w:left w:val="none" w:sz="0" w:space="0" w:color="auto"/>
        <w:bottom w:val="none" w:sz="0" w:space="0" w:color="auto"/>
        <w:right w:val="none" w:sz="0" w:space="0" w:color="auto"/>
      </w:divBdr>
    </w:div>
    <w:div w:id="1119177521">
      <w:bodyDiv w:val="1"/>
      <w:marLeft w:val="0"/>
      <w:marRight w:val="0"/>
      <w:marTop w:val="0"/>
      <w:marBottom w:val="0"/>
      <w:divBdr>
        <w:top w:val="none" w:sz="0" w:space="0" w:color="auto"/>
        <w:left w:val="none" w:sz="0" w:space="0" w:color="auto"/>
        <w:bottom w:val="none" w:sz="0" w:space="0" w:color="auto"/>
        <w:right w:val="none" w:sz="0" w:space="0" w:color="auto"/>
      </w:divBdr>
    </w:div>
    <w:div w:id="1139227396">
      <w:bodyDiv w:val="1"/>
      <w:marLeft w:val="0"/>
      <w:marRight w:val="0"/>
      <w:marTop w:val="0"/>
      <w:marBottom w:val="0"/>
      <w:divBdr>
        <w:top w:val="none" w:sz="0" w:space="0" w:color="auto"/>
        <w:left w:val="none" w:sz="0" w:space="0" w:color="auto"/>
        <w:bottom w:val="none" w:sz="0" w:space="0" w:color="auto"/>
        <w:right w:val="none" w:sz="0" w:space="0" w:color="auto"/>
      </w:divBdr>
    </w:div>
    <w:div w:id="1154682940">
      <w:bodyDiv w:val="1"/>
      <w:marLeft w:val="0"/>
      <w:marRight w:val="0"/>
      <w:marTop w:val="0"/>
      <w:marBottom w:val="0"/>
      <w:divBdr>
        <w:top w:val="none" w:sz="0" w:space="0" w:color="auto"/>
        <w:left w:val="none" w:sz="0" w:space="0" w:color="auto"/>
        <w:bottom w:val="none" w:sz="0" w:space="0" w:color="auto"/>
        <w:right w:val="none" w:sz="0" w:space="0" w:color="auto"/>
      </w:divBdr>
    </w:div>
    <w:div w:id="1176922158">
      <w:bodyDiv w:val="1"/>
      <w:marLeft w:val="0"/>
      <w:marRight w:val="0"/>
      <w:marTop w:val="0"/>
      <w:marBottom w:val="0"/>
      <w:divBdr>
        <w:top w:val="none" w:sz="0" w:space="0" w:color="auto"/>
        <w:left w:val="none" w:sz="0" w:space="0" w:color="auto"/>
        <w:bottom w:val="none" w:sz="0" w:space="0" w:color="auto"/>
        <w:right w:val="none" w:sz="0" w:space="0" w:color="auto"/>
      </w:divBdr>
    </w:div>
    <w:div w:id="1255473473">
      <w:bodyDiv w:val="1"/>
      <w:marLeft w:val="0"/>
      <w:marRight w:val="0"/>
      <w:marTop w:val="0"/>
      <w:marBottom w:val="0"/>
      <w:divBdr>
        <w:top w:val="none" w:sz="0" w:space="0" w:color="auto"/>
        <w:left w:val="none" w:sz="0" w:space="0" w:color="auto"/>
        <w:bottom w:val="none" w:sz="0" w:space="0" w:color="auto"/>
        <w:right w:val="none" w:sz="0" w:space="0" w:color="auto"/>
      </w:divBdr>
    </w:div>
    <w:div w:id="1264533605">
      <w:bodyDiv w:val="1"/>
      <w:marLeft w:val="0"/>
      <w:marRight w:val="0"/>
      <w:marTop w:val="0"/>
      <w:marBottom w:val="0"/>
      <w:divBdr>
        <w:top w:val="none" w:sz="0" w:space="0" w:color="auto"/>
        <w:left w:val="none" w:sz="0" w:space="0" w:color="auto"/>
        <w:bottom w:val="none" w:sz="0" w:space="0" w:color="auto"/>
        <w:right w:val="none" w:sz="0" w:space="0" w:color="auto"/>
      </w:divBdr>
    </w:div>
    <w:div w:id="1314529219">
      <w:bodyDiv w:val="1"/>
      <w:marLeft w:val="0"/>
      <w:marRight w:val="0"/>
      <w:marTop w:val="0"/>
      <w:marBottom w:val="0"/>
      <w:divBdr>
        <w:top w:val="none" w:sz="0" w:space="0" w:color="auto"/>
        <w:left w:val="none" w:sz="0" w:space="0" w:color="auto"/>
        <w:bottom w:val="none" w:sz="0" w:space="0" w:color="auto"/>
        <w:right w:val="none" w:sz="0" w:space="0" w:color="auto"/>
      </w:divBdr>
    </w:div>
    <w:div w:id="1464540727">
      <w:bodyDiv w:val="1"/>
      <w:marLeft w:val="0"/>
      <w:marRight w:val="0"/>
      <w:marTop w:val="0"/>
      <w:marBottom w:val="0"/>
      <w:divBdr>
        <w:top w:val="none" w:sz="0" w:space="0" w:color="auto"/>
        <w:left w:val="none" w:sz="0" w:space="0" w:color="auto"/>
        <w:bottom w:val="none" w:sz="0" w:space="0" w:color="auto"/>
        <w:right w:val="none" w:sz="0" w:space="0" w:color="auto"/>
      </w:divBdr>
    </w:div>
    <w:div w:id="1530678992">
      <w:bodyDiv w:val="1"/>
      <w:marLeft w:val="0"/>
      <w:marRight w:val="0"/>
      <w:marTop w:val="0"/>
      <w:marBottom w:val="0"/>
      <w:divBdr>
        <w:top w:val="none" w:sz="0" w:space="0" w:color="auto"/>
        <w:left w:val="none" w:sz="0" w:space="0" w:color="auto"/>
        <w:bottom w:val="none" w:sz="0" w:space="0" w:color="auto"/>
        <w:right w:val="none" w:sz="0" w:space="0" w:color="auto"/>
      </w:divBdr>
    </w:div>
    <w:div w:id="1543859986">
      <w:bodyDiv w:val="1"/>
      <w:marLeft w:val="0"/>
      <w:marRight w:val="0"/>
      <w:marTop w:val="0"/>
      <w:marBottom w:val="0"/>
      <w:divBdr>
        <w:top w:val="none" w:sz="0" w:space="0" w:color="auto"/>
        <w:left w:val="none" w:sz="0" w:space="0" w:color="auto"/>
        <w:bottom w:val="none" w:sz="0" w:space="0" w:color="auto"/>
        <w:right w:val="none" w:sz="0" w:space="0" w:color="auto"/>
      </w:divBdr>
    </w:div>
    <w:div w:id="1620800854">
      <w:bodyDiv w:val="1"/>
      <w:marLeft w:val="0"/>
      <w:marRight w:val="0"/>
      <w:marTop w:val="0"/>
      <w:marBottom w:val="0"/>
      <w:divBdr>
        <w:top w:val="none" w:sz="0" w:space="0" w:color="auto"/>
        <w:left w:val="none" w:sz="0" w:space="0" w:color="auto"/>
        <w:bottom w:val="none" w:sz="0" w:space="0" w:color="auto"/>
        <w:right w:val="none" w:sz="0" w:space="0" w:color="auto"/>
      </w:divBdr>
    </w:div>
    <w:div w:id="1651443320">
      <w:bodyDiv w:val="1"/>
      <w:marLeft w:val="0"/>
      <w:marRight w:val="0"/>
      <w:marTop w:val="0"/>
      <w:marBottom w:val="0"/>
      <w:divBdr>
        <w:top w:val="none" w:sz="0" w:space="0" w:color="auto"/>
        <w:left w:val="none" w:sz="0" w:space="0" w:color="auto"/>
        <w:bottom w:val="none" w:sz="0" w:space="0" w:color="auto"/>
        <w:right w:val="none" w:sz="0" w:space="0" w:color="auto"/>
      </w:divBdr>
    </w:div>
    <w:div w:id="1663117141">
      <w:bodyDiv w:val="1"/>
      <w:marLeft w:val="0"/>
      <w:marRight w:val="0"/>
      <w:marTop w:val="0"/>
      <w:marBottom w:val="0"/>
      <w:divBdr>
        <w:top w:val="none" w:sz="0" w:space="0" w:color="auto"/>
        <w:left w:val="none" w:sz="0" w:space="0" w:color="auto"/>
        <w:bottom w:val="none" w:sz="0" w:space="0" w:color="auto"/>
        <w:right w:val="none" w:sz="0" w:space="0" w:color="auto"/>
      </w:divBdr>
    </w:div>
    <w:div w:id="1673415036">
      <w:bodyDiv w:val="1"/>
      <w:marLeft w:val="0"/>
      <w:marRight w:val="0"/>
      <w:marTop w:val="0"/>
      <w:marBottom w:val="0"/>
      <w:divBdr>
        <w:top w:val="none" w:sz="0" w:space="0" w:color="auto"/>
        <w:left w:val="none" w:sz="0" w:space="0" w:color="auto"/>
        <w:bottom w:val="none" w:sz="0" w:space="0" w:color="auto"/>
        <w:right w:val="none" w:sz="0" w:space="0" w:color="auto"/>
      </w:divBdr>
    </w:div>
    <w:div w:id="1715347585">
      <w:bodyDiv w:val="1"/>
      <w:marLeft w:val="0"/>
      <w:marRight w:val="0"/>
      <w:marTop w:val="0"/>
      <w:marBottom w:val="0"/>
      <w:divBdr>
        <w:top w:val="none" w:sz="0" w:space="0" w:color="auto"/>
        <w:left w:val="none" w:sz="0" w:space="0" w:color="auto"/>
        <w:bottom w:val="none" w:sz="0" w:space="0" w:color="auto"/>
        <w:right w:val="none" w:sz="0" w:space="0" w:color="auto"/>
      </w:divBdr>
    </w:div>
    <w:div w:id="1794905384">
      <w:bodyDiv w:val="1"/>
      <w:marLeft w:val="0"/>
      <w:marRight w:val="0"/>
      <w:marTop w:val="0"/>
      <w:marBottom w:val="0"/>
      <w:divBdr>
        <w:top w:val="none" w:sz="0" w:space="0" w:color="auto"/>
        <w:left w:val="none" w:sz="0" w:space="0" w:color="auto"/>
        <w:bottom w:val="none" w:sz="0" w:space="0" w:color="auto"/>
        <w:right w:val="none" w:sz="0" w:space="0" w:color="auto"/>
      </w:divBdr>
    </w:div>
    <w:div w:id="1872570793">
      <w:bodyDiv w:val="1"/>
      <w:marLeft w:val="0"/>
      <w:marRight w:val="0"/>
      <w:marTop w:val="0"/>
      <w:marBottom w:val="0"/>
      <w:divBdr>
        <w:top w:val="none" w:sz="0" w:space="0" w:color="auto"/>
        <w:left w:val="none" w:sz="0" w:space="0" w:color="auto"/>
        <w:bottom w:val="none" w:sz="0" w:space="0" w:color="auto"/>
        <w:right w:val="none" w:sz="0" w:space="0" w:color="auto"/>
      </w:divBdr>
    </w:div>
    <w:div w:id="1878347637">
      <w:bodyDiv w:val="1"/>
      <w:marLeft w:val="0"/>
      <w:marRight w:val="0"/>
      <w:marTop w:val="0"/>
      <w:marBottom w:val="0"/>
      <w:divBdr>
        <w:top w:val="none" w:sz="0" w:space="0" w:color="auto"/>
        <w:left w:val="none" w:sz="0" w:space="0" w:color="auto"/>
        <w:bottom w:val="none" w:sz="0" w:space="0" w:color="auto"/>
        <w:right w:val="none" w:sz="0" w:space="0" w:color="auto"/>
      </w:divBdr>
    </w:div>
    <w:div w:id="1926111443">
      <w:bodyDiv w:val="1"/>
      <w:marLeft w:val="0"/>
      <w:marRight w:val="0"/>
      <w:marTop w:val="0"/>
      <w:marBottom w:val="0"/>
      <w:divBdr>
        <w:top w:val="none" w:sz="0" w:space="0" w:color="auto"/>
        <w:left w:val="none" w:sz="0" w:space="0" w:color="auto"/>
        <w:bottom w:val="none" w:sz="0" w:space="0" w:color="auto"/>
        <w:right w:val="none" w:sz="0" w:space="0" w:color="auto"/>
      </w:divBdr>
    </w:div>
    <w:div w:id="1993899877">
      <w:bodyDiv w:val="1"/>
      <w:marLeft w:val="0"/>
      <w:marRight w:val="0"/>
      <w:marTop w:val="0"/>
      <w:marBottom w:val="0"/>
      <w:divBdr>
        <w:top w:val="none" w:sz="0" w:space="0" w:color="auto"/>
        <w:left w:val="none" w:sz="0" w:space="0" w:color="auto"/>
        <w:bottom w:val="none" w:sz="0" w:space="0" w:color="auto"/>
        <w:right w:val="none" w:sz="0" w:space="0" w:color="auto"/>
      </w:divBdr>
    </w:div>
    <w:div w:id="2045787308">
      <w:bodyDiv w:val="1"/>
      <w:marLeft w:val="0"/>
      <w:marRight w:val="0"/>
      <w:marTop w:val="0"/>
      <w:marBottom w:val="0"/>
      <w:divBdr>
        <w:top w:val="none" w:sz="0" w:space="0" w:color="auto"/>
        <w:left w:val="none" w:sz="0" w:space="0" w:color="auto"/>
        <w:bottom w:val="none" w:sz="0" w:space="0" w:color="auto"/>
        <w:right w:val="none" w:sz="0" w:space="0" w:color="auto"/>
      </w:divBdr>
    </w:div>
    <w:div w:id="2057047667">
      <w:bodyDiv w:val="1"/>
      <w:marLeft w:val="0"/>
      <w:marRight w:val="0"/>
      <w:marTop w:val="0"/>
      <w:marBottom w:val="0"/>
      <w:divBdr>
        <w:top w:val="none" w:sz="0" w:space="0" w:color="auto"/>
        <w:left w:val="none" w:sz="0" w:space="0" w:color="auto"/>
        <w:bottom w:val="none" w:sz="0" w:space="0" w:color="auto"/>
        <w:right w:val="none" w:sz="0" w:space="0" w:color="auto"/>
      </w:divBdr>
    </w:div>
    <w:div w:id="2065981320">
      <w:bodyDiv w:val="1"/>
      <w:marLeft w:val="0"/>
      <w:marRight w:val="0"/>
      <w:marTop w:val="0"/>
      <w:marBottom w:val="0"/>
      <w:divBdr>
        <w:top w:val="none" w:sz="0" w:space="0" w:color="auto"/>
        <w:left w:val="none" w:sz="0" w:space="0" w:color="auto"/>
        <w:bottom w:val="none" w:sz="0" w:space="0" w:color="auto"/>
        <w:right w:val="none" w:sz="0" w:space="0" w:color="auto"/>
      </w:divBdr>
    </w:div>
    <w:div w:id="21202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5FDCB.A6EB8920" TargetMode="External"/><Relationship Id="rId13" Type="http://schemas.openxmlformats.org/officeDocument/2006/relationships/hyperlink" Target="https://nasdaqbaltic.com/lv/nac-uz-birzu/sertificeto-konsultantu-saraksts/" TargetMode="External"/><Relationship Id="rId18" Type="http://schemas.openxmlformats.org/officeDocument/2006/relationships/hyperlink" Target="https://likumi.lv/ta/id/312111-darbibas-programmas-izaugsme-un-nodarbinatiba-3-1-1-nbspspecifiska-atbalsta-merka-sekmet-mazo-videjo-komersantu-izveidi" TargetMode="External"/><Relationship Id="rId3" Type="http://schemas.openxmlformats.org/officeDocument/2006/relationships/settings" Target="settings.xml"/><Relationship Id="rId21" Type="http://schemas.openxmlformats.org/officeDocument/2006/relationships/hyperlink" Target="https://cfla.gov.lv/lv/es-fondi-2014-2020/izsludinatas-atlases/3-1-1-3-k-1" TargetMode="External"/><Relationship Id="rId7" Type="http://schemas.openxmlformats.org/officeDocument/2006/relationships/image" Target="media/image1.png"/><Relationship Id="rId12" Type="http://schemas.openxmlformats.org/officeDocument/2006/relationships/hyperlink" Target="https://nasdaqbaltic.com/lv/nac-uz-birzu/piesaisti-kapitalu/" TargetMode="External"/><Relationship Id="rId17" Type="http://schemas.openxmlformats.org/officeDocument/2006/relationships/hyperlink" Target="https://likumi.lv/ta/id/312111-darbibas-programmas-izaugsme-un-nodarbinatiba-3-1-1-nbspspecifiska-atbalsta-merka-sekmet-mazo-videjo-komersantu-izveid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fla.gov.lv/lv/es-fondi-2014-2020/izsludinatas-atlases/3-1-1-3-k-1" TargetMode="External"/><Relationship Id="rId20" Type="http://schemas.openxmlformats.org/officeDocument/2006/relationships/hyperlink" Target="https://likumi.lv/ta/id/312111-darbibas-programmas-izaugsme-un-nodarbinatiba-3-1-1-nbspspecifiska-atbalsta-merka-sekmet-mazo-videjo-komersantu-izvei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la.gov.lv/lv/es-fondi-2014-2020/izsludinatas-atlases/3-1-1-3-k-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sdaqbaltic.com/lv/nac-uz-birzu/sertificeto-konsultantu-saraksts/" TargetMode="External"/><Relationship Id="rId23" Type="http://schemas.openxmlformats.org/officeDocument/2006/relationships/hyperlink" Target="https://cfla.gov.lv/lv/es-fondi-2014-2020/izsludinatas-atlases/3-1-1-3-k-1" TargetMode="External"/><Relationship Id="rId10" Type="http://schemas.openxmlformats.org/officeDocument/2006/relationships/hyperlink" Target="https://cfla.gov.lv/lv/es-fondi-2014-2020/izsludinatas-atlases/3-1-1-3-k-1" TargetMode="External"/><Relationship Id="rId19" Type="http://schemas.openxmlformats.org/officeDocument/2006/relationships/hyperlink" Target="https://cfla.gov.lv/lv/es-fondi-2014-2020/izsludinatas-atlases/3-1-1-3-k-1" TargetMode="External"/><Relationship Id="rId4" Type="http://schemas.openxmlformats.org/officeDocument/2006/relationships/webSettings" Target="webSettings.xml"/><Relationship Id="rId9" Type="http://schemas.openxmlformats.org/officeDocument/2006/relationships/hyperlink" Target="https://cfla.gov.lv/lv/es-fondi-2014-2020/izsludinatas-atlases/3-1-1-3-k-1" TargetMode="External"/><Relationship Id="rId14" Type="http://schemas.openxmlformats.org/officeDocument/2006/relationships/hyperlink" Target="https://cfla.gov.lv/lv/es-fondi-2014-2020/izsludinatas-atlases/3-1-1-3-k-1" TargetMode="External"/><Relationship Id="rId22" Type="http://schemas.openxmlformats.org/officeDocument/2006/relationships/hyperlink" Target="https://likumi.lv/ta/id/312111-darbibas-programmas-izaugsme-un-nodarbinatiba-3-1-1-nbspspecifiska-atbalsta-merka-sekmet-mazo-videjo-komersantu-izveid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p.esfondi.lv/Login/Index?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16534</Words>
  <Characters>9425</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Liepiņa</dc:creator>
  <cp:keywords/>
  <dc:description/>
  <cp:lastModifiedBy>Liene Liepiņa</cp:lastModifiedBy>
  <cp:revision>2</cp:revision>
  <dcterms:created xsi:type="dcterms:W3CDTF">2020-09-04T11:12:00Z</dcterms:created>
  <dcterms:modified xsi:type="dcterms:W3CDTF">2020-09-04T11:12:00Z</dcterms:modified>
</cp:coreProperties>
</file>