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E9" w:rsidRPr="00976CE9" w:rsidRDefault="00976CE9" w:rsidP="00976CE9">
      <w:pPr>
        <w:jc w:val="right"/>
        <w:rPr>
          <w:i/>
        </w:rPr>
      </w:pPr>
      <w:r w:rsidRPr="00976CE9">
        <w:rPr>
          <w:i/>
        </w:rPr>
        <w:t>11.07.2016.</w:t>
      </w:r>
    </w:p>
    <w:p w:rsidR="00AD7637" w:rsidRDefault="00AD7637" w:rsidP="00976CE9">
      <w:pPr>
        <w:jc w:val="both"/>
      </w:pPr>
      <w:r w:rsidRPr="00AD7637">
        <w:rPr>
          <w:u w:val="single"/>
        </w:rPr>
        <w:t xml:space="preserve">Jelgavas </w:t>
      </w:r>
      <w:r w:rsidR="00976CE9" w:rsidRPr="00AD7637">
        <w:rPr>
          <w:u w:val="single"/>
        </w:rPr>
        <w:t xml:space="preserve">28.06.2016. </w:t>
      </w:r>
      <w:r w:rsidRPr="00AD7637">
        <w:rPr>
          <w:u w:val="single"/>
        </w:rPr>
        <w:t>semināra jau</w:t>
      </w:r>
      <w:bookmarkStart w:id="0" w:name="_GoBack"/>
      <w:bookmarkEnd w:id="0"/>
      <w:r w:rsidRPr="00AD7637">
        <w:rPr>
          <w:u w:val="single"/>
        </w:rPr>
        <w:t>tājumi</w:t>
      </w:r>
      <w:r>
        <w:t xml:space="preserve">: </w:t>
      </w:r>
    </w:p>
    <w:p w:rsidR="00AD7637" w:rsidRDefault="00AD7637" w:rsidP="00976CE9">
      <w:pPr>
        <w:pStyle w:val="ListParagraph"/>
        <w:numPr>
          <w:ilvl w:val="0"/>
          <w:numId w:val="1"/>
        </w:numPr>
        <w:jc w:val="both"/>
      </w:pPr>
      <w:r>
        <w:t xml:space="preserve">Vai publicitātes pasākumi ir obligāti neatkarīgi no saņemtā atbalsta summas apmēra? </w:t>
      </w:r>
    </w:p>
    <w:p w:rsidR="003A3B1F" w:rsidRDefault="00AD7637" w:rsidP="00976CE9">
      <w:pPr>
        <w:ind w:left="360"/>
        <w:jc w:val="both"/>
      </w:pPr>
      <w:r w:rsidRPr="00AD7637">
        <w:rPr>
          <w:b/>
        </w:rPr>
        <w:t>Atbilde</w:t>
      </w:r>
      <w:r>
        <w:t xml:space="preserve">: </w:t>
      </w:r>
      <w:r w:rsidR="003A3B1F">
        <w:t>3.1.1.5.pasākuma ietvaros ir paredzēti trīs obligāti publicitātes pasākuma veidi: 1)lielformāta informatīvais stends; 2) Informatīvais plakāts/plāksne un 3) informācija internetā. Ar plašāku informāciju par publicitātes prasībām var iepazīties šeit: i</w:t>
      </w:r>
      <w:hyperlink r:id="rId5" w:history="1">
        <w:r w:rsidR="003A3B1F" w:rsidRPr="0084378B">
          <w:rPr>
            <w:rStyle w:val="Hyperlink"/>
          </w:rPr>
          <w:t>http://www.esfondi.lv/2014-2020-publicitates-vadlinijas</w:t>
        </w:r>
      </w:hyperlink>
      <w:r w:rsidR="003A3B1F">
        <w:t xml:space="preserve"> </w:t>
      </w:r>
    </w:p>
    <w:p w:rsidR="003A3B1F" w:rsidRDefault="00AD7637" w:rsidP="00976CE9">
      <w:pPr>
        <w:pStyle w:val="ListParagraph"/>
        <w:numPr>
          <w:ilvl w:val="0"/>
          <w:numId w:val="1"/>
        </w:numPr>
        <w:jc w:val="both"/>
      </w:pPr>
      <w:r>
        <w:t>Vai jātaisa mājaslapa, ja uzņēmuma nav mājaslapa (lai nodrošinātu</w:t>
      </w:r>
      <w:r w:rsidR="003A3B1F">
        <w:t xml:space="preserve"> obligāto </w:t>
      </w:r>
      <w:r>
        <w:t>publicitātes pasākumu</w:t>
      </w:r>
      <w:r w:rsidR="003A3B1F">
        <w:t xml:space="preserve"> – informācija internetā</w:t>
      </w:r>
      <w:r>
        <w:t>).</w:t>
      </w:r>
    </w:p>
    <w:p w:rsidR="00AD7637" w:rsidRDefault="00AD7637" w:rsidP="00976CE9">
      <w:pPr>
        <w:ind w:left="360"/>
        <w:jc w:val="both"/>
      </w:pPr>
      <w:r w:rsidRPr="003A3B1F">
        <w:rPr>
          <w:b/>
        </w:rPr>
        <w:t>Atbilde</w:t>
      </w:r>
      <w:r w:rsidR="00F1604D">
        <w:t>: U</w:t>
      </w:r>
      <w:r w:rsidR="003A3B1F">
        <w:t>zņēmumam nav speciāli jāveido</w:t>
      </w:r>
      <w:r>
        <w:t xml:space="preserve"> mājaslapa</w:t>
      </w:r>
      <w:r w:rsidR="003A3B1F">
        <w:t>, tikai tāpēc, lai izvietotu informāciju par projekta gaitu</w:t>
      </w:r>
      <w:r>
        <w:t>, bet</w:t>
      </w:r>
      <w:r w:rsidR="003A3B1F">
        <w:t>,</w:t>
      </w:r>
      <w:r>
        <w:t xml:space="preserve"> ja</w:t>
      </w:r>
      <w:r w:rsidR="003A3B1F">
        <w:t xml:space="preserve"> projekta īstenošanas laikā šāda mājas lapa</w:t>
      </w:r>
      <w:r>
        <w:t xml:space="preserve"> tiks izveidota</w:t>
      </w:r>
      <w:r w:rsidR="003A3B1F">
        <w:t>,</w:t>
      </w:r>
      <w:r>
        <w:t xml:space="preserve"> tad informācija par projektu tajā jā</w:t>
      </w:r>
      <w:r w:rsidR="003A3B1F">
        <w:t>ievieto ievērojot MK noteikumu Nr.227 38.punktā noteikto</w:t>
      </w:r>
    </w:p>
    <w:p w:rsidR="00AD7637" w:rsidRDefault="00AD7637" w:rsidP="00976CE9">
      <w:pPr>
        <w:pStyle w:val="ListParagraph"/>
        <w:numPr>
          <w:ilvl w:val="0"/>
          <w:numId w:val="1"/>
        </w:numPr>
        <w:jc w:val="both"/>
      </w:pPr>
      <w:r>
        <w:t xml:space="preserve">Vai </w:t>
      </w:r>
      <w:r w:rsidR="003A3B1F">
        <w:t>projekta iesniedzējs</w:t>
      </w:r>
      <w:r>
        <w:t xml:space="preserve"> var saņemt finansējumu par ēkas pārbūvi kurā pirms projekta atrodas ražošanas iekārtas kuras netiek darbinātas (ēkā nav elektrības). </w:t>
      </w:r>
    </w:p>
    <w:p w:rsidR="00AD7637" w:rsidRDefault="00AD7637" w:rsidP="00976CE9">
      <w:pPr>
        <w:ind w:left="360"/>
        <w:jc w:val="both"/>
      </w:pPr>
      <w:r w:rsidRPr="00AD7637">
        <w:rPr>
          <w:b/>
        </w:rPr>
        <w:t>Atbilde</w:t>
      </w:r>
      <w:r>
        <w:t xml:space="preserve">: </w:t>
      </w:r>
      <w:r w:rsidR="00F1604D">
        <w:t>Š</w:t>
      </w:r>
      <w:r w:rsidR="003A3B1F">
        <w:t xml:space="preserve">ajā gadījumā var saņemt finansējumu. Par to vai ēkā </w:t>
      </w:r>
      <w:r w:rsidR="007F3283">
        <w:t>nav veikta ražošanas apstrādes rūpniecībā pārliecināsies CFLA darbinieki 2 darba dienu laikā pēc projekta iesnieguma saņemšanas veicot pārbaudi plānotajā projekta īstenošanas vietā, kā arī aptaujājot kaimiņos esošus uzņēmumus (ja tādi ir), pašvaldību, kuras teritorijā plānota ēkas pārbūve, kā arī publiskajās datu bāzēs.</w:t>
      </w:r>
    </w:p>
    <w:p w:rsidR="007F3283" w:rsidRDefault="007F3283" w:rsidP="00976CE9">
      <w:pPr>
        <w:pStyle w:val="ListParagraph"/>
        <w:numPr>
          <w:ilvl w:val="0"/>
          <w:numId w:val="1"/>
        </w:numPr>
        <w:jc w:val="both"/>
      </w:pPr>
      <w:r>
        <w:t>Vai elektroenerģijas infrastruktūras pievades ierīkošanas izmaksas būs attiecināmās izmaksas?</w:t>
      </w:r>
    </w:p>
    <w:p w:rsidR="007F3283" w:rsidRPr="000F3F38" w:rsidRDefault="007F3283" w:rsidP="00976CE9">
      <w:pPr>
        <w:ind w:left="360"/>
        <w:jc w:val="both"/>
      </w:pPr>
      <w:r w:rsidRPr="000F3F38">
        <w:rPr>
          <w:b/>
        </w:rPr>
        <w:t>Atbilde</w:t>
      </w:r>
      <w:r w:rsidRPr="000F3F38">
        <w:t xml:space="preserve">: </w:t>
      </w:r>
      <w:r w:rsidR="000F3F38" w:rsidRPr="000F3F38">
        <w:rPr>
          <w:rFonts w:cs="Times New Roman"/>
        </w:rPr>
        <w:t>Ņemot vērā, ka ārējie elektroapgādes tīkli ir AS “Sadales Tīkls” īpašumā, atbalstu ārējo elektroapgādes tīklu rekonstrukcijai/jaudas palielināšanai saņemt nevar. Pasākuma ietvaros attiecināmas tikai to inženierkomunikāciju izbūves izmaksas, kuras atrodas finansējuma saņēmēja īpašumā/nomā esošā zemes gabala.</w:t>
      </w:r>
    </w:p>
    <w:p w:rsidR="00AD7637" w:rsidRDefault="00AD7637" w:rsidP="00976CE9">
      <w:pPr>
        <w:pStyle w:val="ListParagraph"/>
        <w:numPr>
          <w:ilvl w:val="0"/>
          <w:numId w:val="1"/>
        </w:numPr>
        <w:jc w:val="both"/>
      </w:pPr>
      <w:r>
        <w:t xml:space="preserve">Šobrīd FS īrē rūpniecības telpas. Vai var būvēt jaunu ēku? </w:t>
      </w:r>
    </w:p>
    <w:p w:rsidR="00AD7637" w:rsidRDefault="00AD7637" w:rsidP="00976CE9">
      <w:pPr>
        <w:ind w:left="360"/>
        <w:jc w:val="both"/>
      </w:pPr>
      <w:r w:rsidRPr="00AD7637">
        <w:rPr>
          <w:b/>
        </w:rPr>
        <w:t>Atbilde</w:t>
      </w:r>
      <w:r>
        <w:t>: J</w:t>
      </w:r>
      <w:r w:rsidR="003A3B1F">
        <w:t>aunas ēkas būvniecība ir atbalstāma darbība, taču ir jāievēro MK noteikumu Nr.227 10., 12. un 18.punktā noteiktais.</w:t>
      </w:r>
      <w:r>
        <w:t xml:space="preserve"> </w:t>
      </w:r>
    </w:p>
    <w:p w:rsidR="00AD7637" w:rsidRDefault="00AD7637" w:rsidP="00976CE9">
      <w:pPr>
        <w:pStyle w:val="ListParagraph"/>
        <w:numPr>
          <w:ilvl w:val="0"/>
          <w:numId w:val="1"/>
        </w:numPr>
        <w:jc w:val="both"/>
      </w:pPr>
      <w:r>
        <w:t xml:space="preserve">Vai var veikt būvniecību, pārbūvi uz apsaimniekošanas līguma pamata? </w:t>
      </w:r>
    </w:p>
    <w:p w:rsidR="0088780F" w:rsidRDefault="00AD7637" w:rsidP="00976CE9">
      <w:pPr>
        <w:spacing w:after="0"/>
        <w:ind w:left="360"/>
        <w:jc w:val="both"/>
      </w:pPr>
      <w:r w:rsidRPr="00AD7637">
        <w:rPr>
          <w:b/>
        </w:rPr>
        <w:t>Atbilde</w:t>
      </w:r>
      <w:r>
        <w:t xml:space="preserve">: </w:t>
      </w:r>
      <w:r w:rsidR="00F1604D">
        <w:t>P</w:t>
      </w:r>
      <w:r w:rsidR="004126F2">
        <w:t xml:space="preserve">rojekta iesniedzējam saskaņā ar MK noteikumu Nr.227 </w:t>
      </w:r>
      <w:r w:rsidR="00852EA4">
        <w:t>12.p</w:t>
      </w:r>
      <w:r w:rsidR="004126F2">
        <w:t xml:space="preserve">unktā noteikto jābūt </w:t>
      </w:r>
      <w:r>
        <w:t>nomas līgumam</w:t>
      </w:r>
      <w:r w:rsidR="00852EA4">
        <w:t>, kas reģistrēts zemesgrāmatā</w:t>
      </w:r>
      <w:r w:rsidR="0088780F">
        <w:t xml:space="preserve"> t.i. </w:t>
      </w:r>
      <w:r w:rsidR="0088780F" w:rsidRPr="0088780F">
        <w:t>zemesgrāmatā reģistrētas projekta iesniedzēja ilgtermiņa nomas tiesības – vismaz 10 gadus pēc projekta īstenošanas pabeigšanas</w:t>
      </w:r>
      <w:r w:rsidR="0088780F">
        <w:t>.</w:t>
      </w:r>
    </w:p>
    <w:p w:rsidR="00976CE9" w:rsidRDefault="00976CE9" w:rsidP="00976CE9">
      <w:pPr>
        <w:spacing w:after="0"/>
        <w:ind w:left="360"/>
        <w:jc w:val="both"/>
      </w:pPr>
    </w:p>
    <w:p w:rsidR="00AD7637" w:rsidRDefault="00AD7637" w:rsidP="00976CE9">
      <w:pPr>
        <w:pStyle w:val="ListParagraph"/>
        <w:numPr>
          <w:ilvl w:val="0"/>
          <w:numId w:val="1"/>
        </w:numPr>
        <w:jc w:val="both"/>
      </w:pPr>
      <w:r>
        <w:t xml:space="preserve">Vai iesniedzot projekta iesniegumu obligāti jāpievieno paredzētie nomas līgumu projekti? </w:t>
      </w:r>
    </w:p>
    <w:p w:rsidR="00AD7637" w:rsidRDefault="00AD7637" w:rsidP="00976CE9">
      <w:pPr>
        <w:ind w:left="360"/>
        <w:jc w:val="both"/>
      </w:pPr>
      <w:r w:rsidRPr="00AD7637">
        <w:rPr>
          <w:b/>
        </w:rPr>
        <w:t>Atbilde</w:t>
      </w:r>
      <w:r w:rsidR="00F1604D">
        <w:t>: Paredzētos nomas līgumus nav obligāti pievienot projekta iesniegumam</w:t>
      </w:r>
      <w:r>
        <w:t>, tomēr</w:t>
      </w:r>
      <w:r w:rsidR="00F1604D">
        <w:t>,</w:t>
      </w:r>
      <w:r>
        <w:t xml:space="preserve"> ja nomnieki ir apzināti</w:t>
      </w:r>
      <w:r w:rsidR="004126F2">
        <w:t>, saskaņā ar kvalitātes vērtēšanas kritēriju Nr.3 projekta iesnieguma vērtēšanā</w:t>
      </w:r>
      <w:r>
        <w:t xml:space="preserve"> iespējams saņemt </w:t>
      </w:r>
      <w:r w:rsidR="004126F2">
        <w:t>vairāk</w:t>
      </w:r>
      <w:r>
        <w:t xml:space="preserve"> </w:t>
      </w:r>
      <w:r w:rsidR="004126F2">
        <w:t>punktus</w:t>
      </w:r>
      <w:r>
        <w:t xml:space="preserve">. </w:t>
      </w:r>
    </w:p>
    <w:p w:rsidR="00AD7637" w:rsidRDefault="00AD7637" w:rsidP="00976CE9">
      <w:pPr>
        <w:pStyle w:val="ListParagraph"/>
        <w:numPr>
          <w:ilvl w:val="0"/>
          <w:numId w:val="1"/>
        </w:numPr>
        <w:jc w:val="both"/>
      </w:pPr>
      <w:r>
        <w:t>Ko darīt, ja KPVIS iesniedzamās informācijas apjoms ir pārāk liels</w:t>
      </w:r>
      <w:r w:rsidR="005B7823">
        <w:t>, piemēram, tehniskais projekts pārsniedz KP VIS vienam pievienojamajam dokumentam paredzēto 50MB datu apjomu</w:t>
      </w:r>
      <w:r>
        <w:t>?</w:t>
      </w:r>
    </w:p>
    <w:p w:rsidR="00AD7637" w:rsidRDefault="00AD7637" w:rsidP="00976CE9">
      <w:pPr>
        <w:ind w:left="360"/>
        <w:jc w:val="both"/>
      </w:pPr>
      <w:r w:rsidRPr="00AD7637">
        <w:rPr>
          <w:b/>
        </w:rPr>
        <w:t>Atbilde</w:t>
      </w:r>
      <w:r>
        <w:t>:</w:t>
      </w:r>
      <w:r w:rsidR="00CC4C7B">
        <w:t xml:space="preserve"> </w:t>
      </w:r>
      <w:r w:rsidR="005B7823">
        <w:t>Ja iespējams, var dalīt iesniedzamo dokumentu pa vairākiem mazāka apjoma dokumentiem, izmantot dokumentācijas saspiešanu (.</w:t>
      </w:r>
      <w:proofErr w:type="spellStart"/>
      <w:r w:rsidR="005B7823">
        <w:t>zip</w:t>
      </w:r>
      <w:proofErr w:type="spellEnd"/>
      <w:r w:rsidR="005B7823">
        <w:t>) vienā failā u.c.</w:t>
      </w:r>
    </w:p>
    <w:p w:rsidR="00AD7637" w:rsidRDefault="00AD7637" w:rsidP="00976CE9">
      <w:pPr>
        <w:pStyle w:val="ListParagraph"/>
        <w:numPr>
          <w:ilvl w:val="0"/>
          <w:numId w:val="1"/>
        </w:numPr>
        <w:jc w:val="both"/>
      </w:pPr>
      <w:r>
        <w:lastRenderedPageBreak/>
        <w:t xml:space="preserve">Vai projekta ietvaros ir iespējams attiecināt neparedzētos izdevumus? </w:t>
      </w:r>
    </w:p>
    <w:p w:rsidR="00611F2A" w:rsidRDefault="00AD7637" w:rsidP="00976CE9">
      <w:pPr>
        <w:ind w:left="360"/>
        <w:jc w:val="both"/>
      </w:pPr>
      <w:r w:rsidRPr="00AD7637">
        <w:rPr>
          <w:b/>
        </w:rPr>
        <w:t>Atbilde</w:t>
      </w:r>
      <w:r w:rsidR="00F1604D">
        <w:t>: 3.1.1.5.pasākuma ietvaros projekta budžetā nav iespējams iekļaut neparedzētos izdevumus.</w:t>
      </w:r>
      <w:r>
        <w:t xml:space="preserve"> Projekta īstenošanas gaitā būs iespējams veikt pamatotus līguma grozījumus, mainot izmaksu apmēru starp izmaksu pozīcijām, nepalielinot atbalsta kopsummas apmēru</w:t>
      </w:r>
      <w:r w:rsidR="00F1604D">
        <w:t xml:space="preserve"> un ievērojot MK noteikumu Nr.227 19.4.apakšpunktā noteiktos ierobežojumus noteiktām budžeta pozīcijām (būvniecības dokumentācija, autoruzraudzība un būvuzraudzība nevar kopā pārsniegt 10% no kopējām projekta izmaksām)</w:t>
      </w:r>
      <w:r>
        <w:t>.</w:t>
      </w:r>
    </w:p>
    <w:sectPr w:rsidR="00611F2A" w:rsidSect="00976CE9">
      <w:pgSz w:w="11906" w:h="16838"/>
      <w:pgMar w:top="1135"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F7056"/>
    <w:multiLevelType w:val="hybridMultilevel"/>
    <w:tmpl w:val="F61422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37"/>
    <w:rsid w:val="000F3F38"/>
    <w:rsid w:val="002E7719"/>
    <w:rsid w:val="00311B0E"/>
    <w:rsid w:val="00316B07"/>
    <w:rsid w:val="003A3B1F"/>
    <w:rsid w:val="004126F2"/>
    <w:rsid w:val="004A671C"/>
    <w:rsid w:val="005B7823"/>
    <w:rsid w:val="00611F2A"/>
    <w:rsid w:val="007F3283"/>
    <w:rsid w:val="00852EA4"/>
    <w:rsid w:val="0088780F"/>
    <w:rsid w:val="00976CE9"/>
    <w:rsid w:val="009E04FF"/>
    <w:rsid w:val="00AD7637"/>
    <w:rsid w:val="00CC4C7B"/>
    <w:rsid w:val="00F16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AE7AC-5E6C-49B3-BC6C-860E1D5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37"/>
    <w:pPr>
      <w:spacing w:after="0" w:line="240" w:lineRule="auto"/>
      <w:ind w:left="720"/>
    </w:pPr>
    <w:rPr>
      <w:rFonts w:ascii="Calibri" w:hAnsi="Calibri" w:cs="Times New Roman"/>
    </w:rPr>
  </w:style>
  <w:style w:type="character" w:styleId="Hyperlink">
    <w:name w:val="Hyperlink"/>
    <w:basedOn w:val="DefaultParagraphFont"/>
    <w:uiPriority w:val="99"/>
    <w:unhideWhenUsed/>
    <w:rsid w:val="003A3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fondi.lv/2014-2020-publicitates-vadlinij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DAF4BB8E</Template>
  <TotalTime>3</TotalTime>
  <Pages>1</Pages>
  <Words>2287</Words>
  <Characters>1304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Gunta Golde</cp:lastModifiedBy>
  <cp:revision>3</cp:revision>
  <dcterms:created xsi:type="dcterms:W3CDTF">2016-07-11T10:45:00Z</dcterms:created>
  <dcterms:modified xsi:type="dcterms:W3CDTF">2016-07-11T10:52:00Z</dcterms:modified>
</cp:coreProperties>
</file>