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475DA" w14:textId="2F4A0849" w:rsidR="00293B1E" w:rsidRPr="00293B1E" w:rsidRDefault="00293B1E" w:rsidP="00293B1E">
      <w:pPr>
        <w:jc w:val="right"/>
        <w:rPr>
          <w:rFonts w:cs="Times New Roman"/>
          <w:i/>
          <w:szCs w:val="24"/>
        </w:rPr>
      </w:pPr>
      <w:r w:rsidRPr="00293B1E">
        <w:rPr>
          <w:rFonts w:cs="Times New Roman"/>
          <w:i/>
          <w:szCs w:val="24"/>
        </w:rPr>
        <w:t>11.07.2016.</w:t>
      </w:r>
    </w:p>
    <w:p w14:paraId="2A86D23B" w14:textId="422FB7A1" w:rsidR="00293B1E" w:rsidRPr="00293B1E" w:rsidRDefault="00293B1E" w:rsidP="004B3248">
      <w:pPr>
        <w:jc w:val="both"/>
        <w:rPr>
          <w:rFonts w:cs="Times New Roman"/>
          <w:sz w:val="24"/>
          <w:szCs w:val="24"/>
          <w:u w:val="single"/>
        </w:rPr>
      </w:pPr>
      <w:r w:rsidRPr="00293B1E">
        <w:rPr>
          <w:rFonts w:cs="Times New Roman"/>
          <w:sz w:val="24"/>
          <w:szCs w:val="24"/>
          <w:u w:val="single"/>
        </w:rPr>
        <w:t>Liepājas 29.06.2016. semināra jautājumi</w:t>
      </w:r>
      <w:r>
        <w:rPr>
          <w:rFonts w:cs="Times New Roman"/>
          <w:sz w:val="24"/>
          <w:szCs w:val="24"/>
          <w:u w:val="single"/>
        </w:rPr>
        <w:t>:</w:t>
      </w:r>
    </w:p>
    <w:p w14:paraId="00C57E98" w14:textId="77777777" w:rsidR="004B3248" w:rsidRPr="00A8217F" w:rsidRDefault="00BB1B01" w:rsidP="004B3248">
      <w:pPr>
        <w:pStyle w:val="ListParagraph"/>
        <w:numPr>
          <w:ilvl w:val="0"/>
          <w:numId w:val="1"/>
        </w:numPr>
        <w:jc w:val="both"/>
        <w:rPr>
          <w:rFonts w:cs="Times New Roman"/>
          <w:sz w:val="24"/>
          <w:szCs w:val="24"/>
        </w:rPr>
      </w:pPr>
      <w:r w:rsidRPr="00A8217F">
        <w:rPr>
          <w:rFonts w:cs="Times New Roman"/>
          <w:sz w:val="24"/>
          <w:szCs w:val="24"/>
        </w:rPr>
        <w:t>3.1.1.5. pasākuma ietvaros t</w:t>
      </w:r>
      <w:r w:rsidR="004B3248" w:rsidRPr="00A8217F">
        <w:rPr>
          <w:rFonts w:cs="Times New Roman"/>
          <w:sz w:val="24"/>
          <w:szCs w:val="24"/>
        </w:rPr>
        <w:t>iks atbalstīti 20 uzņēmēji. Vai tas ir maksimālais uzņēmēju skaits?</w:t>
      </w:r>
    </w:p>
    <w:p w14:paraId="33964D22" w14:textId="77777777" w:rsidR="008811E5" w:rsidRPr="00A8217F" w:rsidRDefault="008811E5" w:rsidP="008811E5">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xml:space="preserve">: </w:t>
      </w:r>
      <w:r w:rsidR="00BB1B01" w:rsidRPr="00A8217F">
        <w:rPr>
          <w:rFonts w:cs="Times New Roman"/>
          <w:sz w:val="24"/>
          <w:szCs w:val="24"/>
        </w:rPr>
        <w:t xml:space="preserve">Atbalstīto uzņēmēju skaits pasākuma ietvaros var būt lielāks kā 20. </w:t>
      </w:r>
    </w:p>
    <w:p w14:paraId="2819E8DF" w14:textId="77777777" w:rsidR="004B3248" w:rsidRPr="00A8217F" w:rsidRDefault="004B3248" w:rsidP="004B3248">
      <w:pPr>
        <w:pStyle w:val="ListParagraph"/>
        <w:numPr>
          <w:ilvl w:val="0"/>
          <w:numId w:val="1"/>
        </w:numPr>
        <w:jc w:val="both"/>
        <w:rPr>
          <w:rFonts w:cs="Times New Roman"/>
          <w:sz w:val="24"/>
          <w:szCs w:val="24"/>
        </w:rPr>
      </w:pPr>
      <w:r w:rsidRPr="00A8217F">
        <w:rPr>
          <w:rFonts w:cs="Times New Roman"/>
          <w:sz w:val="24"/>
          <w:szCs w:val="24"/>
        </w:rPr>
        <w:t>Kāda ir minimālā atbalsta summa?</w:t>
      </w:r>
    </w:p>
    <w:p w14:paraId="050777FD" w14:textId="77777777" w:rsidR="00BB1B01" w:rsidRPr="00A8217F" w:rsidRDefault="00BB1B01" w:rsidP="00BB1B01">
      <w:pPr>
        <w:ind w:left="360"/>
        <w:jc w:val="both"/>
        <w:rPr>
          <w:rFonts w:cs="Times New Roman"/>
          <w:sz w:val="24"/>
          <w:szCs w:val="24"/>
        </w:rPr>
      </w:pPr>
      <w:r w:rsidRPr="00A8217F">
        <w:rPr>
          <w:rFonts w:cs="Times New Roman"/>
          <w:sz w:val="24"/>
          <w:szCs w:val="24"/>
        </w:rPr>
        <w:t xml:space="preserve">Atbilde: Minimālā ERAF finansējuma atbalsta summa vienam projektam nav noteikta. </w:t>
      </w:r>
    </w:p>
    <w:p w14:paraId="0A92CCE3" w14:textId="455C6BC9" w:rsidR="004B3248" w:rsidRPr="00A8217F" w:rsidRDefault="004B3248" w:rsidP="004B3248">
      <w:pPr>
        <w:pStyle w:val="ListParagraph"/>
        <w:numPr>
          <w:ilvl w:val="0"/>
          <w:numId w:val="1"/>
        </w:numPr>
        <w:jc w:val="both"/>
        <w:rPr>
          <w:rFonts w:cs="Times New Roman"/>
          <w:sz w:val="24"/>
          <w:szCs w:val="24"/>
        </w:rPr>
      </w:pPr>
      <w:r w:rsidRPr="00A8217F">
        <w:rPr>
          <w:rFonts w:cs="Times New Roman"/>
          <w:sz w:val="24"/>
          <w:szCs w:val="24"/>
        </w:rPr>
        <w:t xml:space="preserve">Kāds ir </w:t>
      </w:r>
      <w:r w:rsidR="00FE6CB7" w:rsidRPr="00A8217F">
        <w:rPr>
          <w:rFonts w:cs="Times New Roman"/>
          <w:sz w:val="24"/>
          <w:szCs w:val="24"/>
        </w:rPr>
        <w:t>projekta</w:t>
      </w:r>
      <w:r w:rsidRPr="00A8217F">
        <w:rPr>
          <w:rFonts w:cs="Times New Roman"/>
          <w:sz w:val="24"/>
          <w:szCs w:val="24"/>
        </w:rPr>
        <w:t xml:space="preserve"> iesnieguma iesniegšanas termiņš?</w:t>
      </w:r>
    </w:p>
    <w:p w14:paraId="3CCAE37D" w14:textId="1E3D78C4" w:rsidR="00BB1B01" w:rsidRPr="00A8217F" w:rsidRDefault="00BB1B01" w:rsidP="00BB1B01">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xml:space="preserve">: Projekta iesnieguma iesniegšanas termiņš ir </w:t>
      </w:r>
      <w:r w:rsidRPr="00A8217F">
        <w:rPr>
          <w:rFonts w:cs="Times New Roman"/>
          <w:sz w:val="24"/>
          <w:szCs w:val="24"/>
          <w:u w:val="single"/>
        </w:rPr>
        <w:t>03.08.2016. plkst. 17:00</w:t>
      </w:r>
      <w:r w:rsidRPr="00A8217F">
        <w:rPr>
          <w:rFonts w:cs="Times New Roman"/>
          <w:sz w:val="24"/>
          <w:szCs w:val="24"/>
        </w:rPr>
        <w:t>. Izņēmums ir pa pastu sūtīti projekta iesniegumi, kuru pasta zīmogā par nosūtīšanu jābūt norādītām nosūtīšanas datumam</w:t>
      </w:r>
      <w:r w:rsidR="001A7DE6" w:rsidRPr="00A8217F">
        <w:rPr>
          <w:rFonts w:cs="Times New Roman"/>
          <w:sz w:val="24"/>
          <w:szCs w:val="24"/>
        </w:rPr>
        <w:t>. Pēdējais iespējamais projekta iesnieguma izsūtīšanas datums pa pastu ir 03.08.2016.</w:t>
      </w:r>
    </w:p>
    <w:p w14:paraId="4E860B63" w14:textId="77777777" w:rsidR="004B3248" w:rsidRPr="00A8217F" w:rsidRDefault="004B3248" w:rsidP="004B3248">
      <w:pPr>
        <w:pStyle w:val="ListParagraph"/>
        <w:numPr>
          <w:ilvl w:val="0"/>
          <w:numId w:val="1"/>
        </w:numPr>
        <w:jc w:val="both"/>
        <w:rPr>
          <w:rFonts w:cs="Times New Roman"/>
          <w:sz w:val="24"/>
          <w:szCs w:val="24"/>
        </w:rPr>
      </w:pPr>
      <w:r w:rsidRPr="00A8217F">
        <w:rPr>
          <w:rFonts w:cs="Times New Roman"/>
          <w:sz w:val="24"/>
          <w:szCs w:val="24"/>
        </w:rPr>
        <w:t>Līdz kuram laikam projektu var realizēt?</w:t>
      </w:r>
    </w:p>
    <w:p w14:paraId="076FB660" w14:textId="77777777" w:rsidR="00D60D7A" w:rsidRPr="00A8217F" w:rsidRDefault="00D60D7A" w:rsidP="00D60D7A">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Projektu var īstenot 4 gadus, no dienas, kad noslēgts līgums par projekta īstenošanu, bet ne ilgāk kā līdz 2022.gada 31.decembrim.</w:t>
      </w:r>
    </w:p>
    <w:p w14:paraId="63B43972" w14:textId="77777777" w:rsidR="004B3248" w:rsidRPr="00A8217F" w:rsidRDefault="004B3248" w:rsidP="004B3248">
      <w:pPr>
        <w:pStyle w:val="ListParagraph"/>
        <w:numPr>
          <w:ilvl w:val="0"/>
          <w:numId w:val="1"/>
        </w:numPr>
        <w:jc w:val="both"/>
        <w:rPr>
          <w:rFonts w:cs="Times New Roman"/>
          <w:sz w:val="24"/>
          <w:szCs w:val="24"/>
        </w:rPr>
      </w:pPr>
      <w:r w:rsidRPr="00A8217F">
        <w:rPr>
          <w:rFonts w:cs="Times New Roman"/>
          <w:sz w:val="24"/>
          <w:szCs w:val="24"/>
        </w:rPr>
        <w:t>Kādā laikā projektu iesniegumus izvērtē?</w:t>
      </w:r>
    </w:p>
    <w:p w14:paraId="140CA993" w14:textId="77777777" w:rsidR="00D60D7A" w:rsidRPr="00A8217F" w:rsidRDefault="00D60D7A" w:rsidP="00D60D7A">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Plānots, ka projektu iesniegumus vērtēšanas komisija un piesaistītie eksperti izvērtēs 3 mēnešu laikā. Ja projekta iesniegumus būs nepieciešams precizēt, tad projektu iesniedzējiem tiks dotas papildus 10 darba dienas projekta iesnieguma precizēšanai. Pēc precizējumu saņemšanas vērtēšanas komisi</w:t>
      </w:r>
      <w:r w:rsidR="00AC67FE" w:rsidRPr="00A8217F">
        <w:rPr>
          <w:rFonts w:cs="Times New Roman"/>
          <w:sz w:val="24"/>
          <w:szCs w:val="24"/>
        </w:rPr>
        <w:t xml:space="preserve">ja iespējami īsā laikā veiks to vērtēšanu un pieņems gala lēmumus par projektu iesniegumu apstiprināšanu vai noraidīšanu. </w:t>
      </w:r>
    </w:p>
    <w:p w14:paraId="44D23A1A" w14:textId="77777777" w:rsidR="004B3248" w:rsidRPr="00A8217F" w:rsidRDefault="004B3248" w:rsidP="004B3248">
      <w:pPr>
        <w:pStyle w:val="ListParagraph"/>
        <w:numPr>
          <w:ilvl w:val="0"/>
          <w:numId w:val="1"/>
        </w:numPr>
        <w:jc w:val="both"/>
        <w:rPr>
          <w:rFonts w:cs="Times New Roman"/>
          <w:sz w:val="24"/>
          <w:szCs w:val="24"/>
        </w:rPr>
      </w:pPr>
      <w:r w:rsidRPr="00A8217F">
        <w:rPr>
          <w:rFonts w:cs="Times New Roman"/>
          <w:sz w:val="24"/>
          <w:szCs w:val="24"/>
        </w:rPr>
        <w:t>Kad varētu uzsākt projekta īstenošanu?</w:t>
      </w:r>
    </w:p>
    <w:p w14:paraId="500BDF25" w14:textId="059FCB6D" w:rsidR="00AC67FE" w:rsidRPr="00A8217F" w:rsidRDefault="00AC67FE" w:rsidP="00AC67FE">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xml:space="preserve">: Līgumu slēgšanu ar CFLA un attiecīgi projektu īstenošanu plānots uzsākt 2016.gada beigās, 2017.gada sākumā. </w:t>
      </w:r>
      <w:r w:rsidR="00FE6CB7" w:rsidRPr="00A8217F">
        <w:rPr>
          <w:rFonts w:cs="Times New Roman"/>
          <w:sz w:val="24"/>
          <w:szCs w:val="24"/>
        </w:rPr>
        <w:t>Projektā paredzētās darbības var uzsākt pēc projekta iesnieguma iesniegšanas CFLA</w:t>
      </w:r>
      <w:r w:rsidR="008C650B" w:rsidRPr="00A8217F">
        <w:rPr>
          <w:rFonts w:cs="Times New Roman"/>
          <w:sz w:val="24"/>
          <w:szCs w:val="24"/>
        </w:rPr>
        <w:t>, izņemot projekta būvniecības tehniskās dokumentācijas izstrādi, kas attiecināma no 01.01.2014., atbilstoši MK noteikumu  20.punktam</w:t>
      </w:r>
      <w:r w:rsidR="00FE6CB7" w:rsidRPr="00A8217F">
        <w:rPr>
          <w:rFonts w:cs="Times New Roman"/>
          <w:sz w:val="24"/>
          <w:szCs w:val="24"/>
        </w:rPr>
        <w:t xml:space="preserve"> </w:t>
      </w:r>
    </w:p>
    <w:p w14:paraId="727C7743" w14:textId="77777777" w:rsidR="004B3248" w:rsidRPr="00A8217F" w:rsidRDefault="004B3248" w:rsidP="004B3248">
      <w:pPr>
        <w:pStyle w:val="ListParagraph"/>
        <w:numPr>
          <w:ilvl w:val="0"/>
          <w:numId w:val="1"/>
        </w:numPr>
        <w:jc w:val="both"/>
        <w:rPr>
          <w:rFonts w:cs="Times New Roman"/>
          <w:sz w:val="24"/>
          <w:szCs w:val="24"/>
        </w:rPr>
      </w:pPr>
      <w:r w:rsidRPr="00A8217F">
        <w:rPr>
          <w:rFonts w:cs="Times New Roman"/>
          <w:sz w:val="24"/>
          <w:szCs w:val="24"/>
        </w:rPr>
        <w:lastRenderedPageBreak/>
        <w:t>Ir noteikts, ka esošajās telpās nedrīkst būt veikta apstrādes rūpniecība. Jautājums – vai var būt veikta cita saimnieciskā darbība, piemēram, pakalpojumi?</w:t>
      </w:r>
    </w:p>
    <w:p w14:paraId="2BF849F7" w14:textId="77777777" w:rsidR="00AC67FE" w:rsidRPr="00A8217F" w:rsidRDefault="00AC67FE" w:rsidP="00AC67FE">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xml:space="preserve">: </w:t>
      </w:r>
      <w:r w:rsidR="00405D62" w:rsidRPr="00A8217F">
        <w:rPr>
          <w:rFonts w:cs="Times New Roman"/>
          <w:sz w:val="24"/>
          <w:szCs w:val="24"/>
        </w:rPr>
        <w:t xml:space="preserve">Projekta iesniedzējs telpās, kuras projekta ietvaros plāno pārbūvēt vai atjaunot, var būt veicis citu saimniecisko darbību, kas nav saistīta ar apstrādes rūpniecību. </w:t>
      </w:r>
    </w:p>
    <w:p w14:paraId="6F3A4FAF" w14:textId="77777777" w:rsidR="004B3248" w:rsidRPr="00A8217F" w:rsidRDefault="004B3248" w:rsidP="004B3248">
      <w:pPr>
        <w:pStyle w:val="ListParagraph"/>
        <w:numPr>
          <w:ilvl w:val="0"/>
          <w:numId w:val="1"/>
        </w:numPr>
        <w:jc w:val="both"/>
        <w:rPr>
          <w:rFonts w:cs="Times New Roman"/>
          <w:sz w:val="24"/>
          <w:szCs w:val="24"/>
        </w:rPr>
      </w:pPr>
      <w:r w:rsidRPr="00A8217F">
        <w:rPr>
          <w:rFonts w:cs="Times New Roman"/>
          <w:sz w:val="24"/>
          <w:szCs w:val="24"/>
        </w:rPr>
        <w:t xml:space="preserve">Par </w:t>
      </w:r>
      <w:r w:rsidRPr="00A8217F">
        <w:rPr>
          <w:rFonts w:cs="Times New Roman"/>
          <w:i/>
          <w:sz w:val="24"/>
          <w:szCs w:val="24"/>
        </w:rPr>
        <w:t xml:space="preserve">De minimis. </w:t>
      </w:r>
      <w:r w:rsidRPr="00A8217F">
        <w:rPr>
          <w:rFonts w:cs="Times New Roman"/>
          <w:sz w:val="24"/>
          <w:szCs w:val="24"/>
        </w:rPr>
        <w:t xml:space="preserve">Esam Liepājas Speciālās ekonomiskās zonas uzņēmums un līdz ar to saņemam nekustamā īpašuma nodokļa (NĪN) atvieglojumus. Vai NĪN atvieglojuma summa ir uzskatāma par </w:t>
      </w:r>
      <w:r w:rsidRPr="00A8217F">
        <w:rPr>
          <w:rFonts w:cs="Times New Roman"/>
          <w:i/>
          <w:sz w:val="24"/>
          <w:szCs w:val="24"/>
        </w:rPr>
        <w:t>De minimis</w:t>
      </w:r>
      <w:r w:rsidRPr="00A8217F">
        <w:rPr>
          <w:rFonts w:cs="Times New Roman"/>
          <w:sz w:val="24"/>
          <w:szCs w:val="24"/>
        </w:rPr>
        <w:t>?</w:t>
      </w:r>
    </w:p>
    <w:p w14:paraId="2B0FED4D" w14:textId="540C0A0C" w:rsidR="00405D62" w:rsidRPr="00A8217F" w:rsidRDefault="00405D62" w:rsidP="00405D62">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xml:space="preserve">: </w:t>
      </w:r>
      <w:r w:rsidR="008C650B" w:rsidRPr="00A8217F">
        <w:rPr>
          <w:rFonts w:cs="Times New Roman"/>
          <w:sz w:val="24"/>
          <w:szCs w:val="24"/>
        </w:rPr>
        <w:t xml:space="preserve">Visas 3.1.1.5. pasākuma “Atbalsts ieguldījumiem ražošanas telpu un infrastruktūras izveidei vai rekonstrukcijai” ietvaros attiecināmās izmaksas ir minētas MK noteikumu Nr.227 19.punktā. Savukārt, noteikumu 19.4. apakšpunktā minētās </w:t>
      </w:r>
      <w:r w:rsidR="008C650B" w:rsidRPr="00A8217F">
        <w:rPr>
          <w:rFonts w:cs="Times New Roman"/>
          <w:b/>
          <w:sz w:val="24"/>
          <w:szCs w:val="24"/>
          <w:u w:val="single"/>
        </w:rPr>
        <w:t>izmaksas par būvprojekta izstrādi</w:t>
      </w:r>
      <w:r w:rsidR="008C650B" w:rsidRPr="00A8217F">
        <w:rPr>
          <w:rFonts w:cs="Times New Roman"/>
          <w:sz w:val="24"/>
          <w:szCs w:val="24"/>
        </w:rPr>
        <w:t xml:space="preserve"> ir attiecināmas, ja tās ir saistītas ar projekta rezultātā izveidotajiem pamatlīdzekļiem un ir radušās pēc projekta iesnieguma iesniegšanas sadarbības iestādē. Ja šīs izmaksas ir radušās pirms projekta iesnieguma iesniegšanas sadarbības iestādē, bet ne agrāk kā 2014. gada 1. janvārī, tās ir attiecināmas un tām atbalstu sniedz saskaņā ar </w:t>
      </w:r>
      <w:r w:rsidR="008C650B" w:rsidRPr="00A8217F">
        <w:rPr>
          <w:rFonts w:cs="Times New Roman"/>
          <w:b/>
          <w:sz w:val="24"/>
          <w:szCs w:val="24"/>
          <w:u w:val="single"/>
        </w:rPr>
        <w:t xml:space="preserve">Komisijas regulu Nr. 1407/2013, </w:t>
      </w:r>
      <w:r w:rsidR="008C650B" w:rsidRPr="00A8217F">
        <w:rPr>
          <w:rFonts w:cs="Times New Roman"/>
          <w:sz w:val="24"/>
          <w:szCs w:val="24"/>
        </w:rPr>
        <w:t xml:space="preserve">proti, tiks uzskaitītas kā </w:t>
      </w:r>
      <w:r w:rsidR="008C650B" w:rsidRPr="00A8217F">
        <w:rPr>
          <w:rFonts w:cs="Times New Roman"/>
          <w:i/>
          <w:sz w:val="24"/>
          <w:szCs w:val="24"/>
        </w:rPr>
        <w:t>de minimis</w:t>
      </w:r>
      <w:r w:rsidR="00380595" w:rsidRPr="00A8217F">
        <w:rPr>
          <w:rFonts w:cs="Times New Roman"/>
          <w:sz w:val="24"/>
          <w:szCs w:val="24"/>
        </w:rPr>
        <w:t>.</w:t>
      </w:r>
    </w:p>
    <w:p w14:paraId="1D0F7F36" w14:textId="77777777" w:rsidR="004B3248" w:rsidRPr="00A8217F" w:rsidRDefault="004B3248" w:rsidP="004B3248">
      <w:pPr>
        <w:pStyle w:val="ListParagraph"/>
        <w:numPr>
          <w:ilvl w:val="0"/>
          <w:numId w:val="1"/>
        </w:numPr>
        <w:jc w:val="both"/>
        <w:rPr>
          <w:rFonts w:cs="Times New Roman"/>
          <w:sz w:val="24"/>
          <w:szCs w:val="24"/>
        </w:rPr>
      </w:pPr>
      <w:r w:rsidRPr="00A8217F">
        <w:rPr>
          <w:rFonts w:cs="Times New Roman"/>
          <w:sz w:val="24"/>
          <w:szCs w:val="24"/>
        </w:rPr>
        <w:t>Vai kā attiecināmās izmaksas var būt, piemēram, telfera izbūves izmaksas, apkures katla izmaksas, katlu mājas izbūve?</w:t>
      </w:r>
    </w:p>
    <w:p w14:paraId="76900518" w14:textId="533E9891" w:rsidR="00405D62" w:rsidRPr="00A8217F" w:rsidRDefault="00405D62" w:rsidP="00405D62">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xml:space="preserve">: </w:t>
      </w:r>
      <w:r w:rsidR="0016358F" w:rsidRPr="00A8217F">
        <w:rPr>
          <w:rFonts w:cs="Times New Roman"/>
          <w:sz w:val="24"/>
          <w:szCs w:val="24"/>
        </w:rPr>
        <w:t xml:space="preserve">Saskaņā ar MK noteikumu 19.1.apakšpunktā noteikto </w:t>
      </w:r>
      <w:r w:rsidR="0016358F" w:rsidRPr="00A8217F">
        <w:rPr>
          <w:rFonts w:cs="Times New Roman"/>
          <w:sz w:val="24"/>
          <w:szCs w:val="24"/>
          <w:u w:val="single"/>
        </w:rPr>
        <w:t>attiecināmas ir izmaksas</w:t>
      </w:r>
      <w:r w:rsidR="0016358F" w:rsidRPr="00A8217F">
        <w:rPr>
          <w:rFonts w:cs="Times New Roman"/>
          <w:sz w:val="24"/>
          <w:szCs w:val="24"/>
        </w:rPr>
        <w:t xml:space="preserve"> par rūpnieciskās ražošanas ēkas būvniecības, pārbūves vai atjaunošanas darbiem, un saskaņā ar 19.2.apakšpunktu infrastruktūras ierīkošanu un pārbūvi, kas </w:t>
      </w:r>
      <w:r w:rsidR="0016358F" w:rsidRPr="00A8217F">
        <w:rPr>
          <w:rFonts w:cs="Times New Roman"/>
          <w:sz w:val="24"/>
          <w:szCs w:val="24"/>
          <w:u w:val="single"/>
        </w:rPr>
        <w:t>paredzēta rūpnieciskās ražošanas ēkas vajadzībām</w:t>
      </w:r>
      <w:r w:rsidR="0016358F" w:rsidRPr="00A8217F">
        <w:rPr>
          <w:rFonts w:cs="Times New Roman"/>
          <w:sz w:val="24"/>
          <w:szCs w:val="24"/>
        </w:rPr>
        <w:t xml:space="preserve">. </w:t>
      </w:r>
      <w:r w:rsidR="00C70E61" w:rsidRPr="00A8217F">
        <w:rPr>
          <w:rFonts w:cs="Times New Roman"/>
          <w:sz w:val="24"/>
          <w:szCs w:val="24"/>
        </w:rPr>
        <w:t>Izmaksas par apkures katla izbūvi, kā arī katlu mājas izbūve, ja tā ir nepieciešama ražošanas ēkas vajadzībām, ir uzskatāmas</w:t>
      </w:r>
      <w:r w:rsidR="00BF161B" w:rsidRPr="00A8217F">
        <w:rPr>
          <w:rFonts w:cs="Times New Roman"/>
          <w:sz w:val="24"/>
          <w:szCs w:val="24"/>
        </w:rPr>
        <w:t xml:space="preserve"> </w:t>
      </w:r>
      <w:r w:rsidR="00C70E61" w:rsidRPr="00A8217F">
        <w:rPr>
          <w:rFonts w:cs="Times New Roman"/>
          <w:sz w:val="24"/>
          <w:szCs w:val="24"/>
        </w:rPr>
        <w:t xml:space="preserve">par attiecināmām izmaksām. Tā kā teflera izbūve ir saistīta ar ražošanas procesu un nevis ar ražošanas ēku, tad par to izmaksas nav uzskatāmas par attiecināmām. </w:t>
      </w:r>
    </w:p>
    <w:p w14:paraId="0E2058B1" w14:textId="77777777" w:rsidR="004B3248" w:rsidRPr="00A8217F" w:rsidRDefault="004B3248" w:rsidP="004B3248">
      <w:pPr>
        <w:pStyle w:val="ListParagraph"/>
        <w:numPr>
          <w:ilvl w:val="0"/>
          <w:numId w:val="1"/>
        </w:numPr>
        <w:jc w:val="both"/>
        <w:rPr>
          <w:rFonts w:cs="Times New Roman"/>
          <w:sz w:val="24"/>
          <w:szCs w:val="24"/>
        </w:rPr>
      </w:pPr>
      <w:r w:rsidRPr="00A8217F">
        <w:rPr>
          <w:rFonts w:cs="Times New Roman"/>
          <w:sz w:val="24"/>
          <w:szCs w:val="24"/>
        </w:rPr>
        <w:t xml:space="preserve"> Vai pēc 3.augusta vēl būs atlases?</w:t>
      </w:r>
    </w:p>
    <w:p w14:paraId="7D78B263" w14:textId="5D23289A" w:rsidR="00B11B1C" w:rsidRPr="00A8217F" w:rsidRDefault="00B11B1C" w:rsidP="00B11B1C">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xml:space="preserve">: </w:t>
      </w:r>
      <w:r w:rsidR="00766A80" w:rsidRPr="00A8217F">
        <w:rPr>
          <w:rFonts w:cs="Times New Roman"/>
          <w:sz w:val="24"/>
          <w:szCs w:val="24"/>
        </w:rPr>
        <w:t xml:space="preserve">Šī pasākuma ietvaros nav paredzēta projektu iesniegumu atlases kārtas. Ja līdz 31.12.2018. tiks sasniegti MK noteikumu Nr.227 6.punktā norādītie pasākuma ietvaros sasniedzamie uzraudzības </w:t>
      </w:r>
      <w:r w:rsidR="00766A80" w:rsidRPr="00A8217F">
        <w:rPr>
          <w:rFonts w:cs="Times New Roman"/>
          <w:sz w:val="24"/>
          <w:szCs w:val="24"/>
        </w:rPr>
        <w:lastRenderedPageBreak/>
        <w:t xml:space="preserve">rādītāji, tad būs iespējams izmantot MK noteikumu Nr.227 5.punktā norādīto ERAF finansējuma snieguma rezervi. </w:t>
      </w:r>
    </w:p>
    <w:p w14:paraId="09F7323B" w14:textId="77777777" w:rsidR="004B3248" w:rsidRPr="00A8217F" w:rsidRDefault="004B3248" w:rsidP="004B3248">
      <w:pPr>
        <w:pStyle w:val="ListParagraph"/>
        <w:numPr>
          <w:ilvl w:val="0"/>
          <w:numId w:val="1"/>
        </w:numPr>
        <w:jc w:val="both"/>
        <w:rPr>
          <w:rFonts w:cs="Times New Roman"/>
          <w:sz w:val="24"/>
          <w:szCs w:val="24"/>
        </w:rPr>
      </w:pPr>
      <w:r w:rsidRPr="00A8217F">
        <w:rPr>
          <w:rFonts w:cs="Times New Roman"/>
          <w:sz w:val="24"/>
          <w:szCs w:val="24"/>
        </w:rPr>
        <w:t>Vai ir iesniegti daudz projektu iesniegumi, vai ir liela interese?</w:t>
      </w:r>
    </w:p>
    <w:p w14:paraId="28D993AF" w14:textId="3B827784" w:rsidR="00766A80" w:rsidRPr="00A8217F" w:rsidRDefault="00766A80" w:rsidP="00766A80">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xml:space="preserve">: 3.1.1.5.pasākuma ietvaros uz 29.06.2016. CFLA vēl nav saņēmusi nevienu projekta iesniegumu. Ņemot vērā semināru apmeklētību un elektroniski saņemtos iespējamo projekta iesniedzēju jautājumus, interese par šo pasākumu ir pietiekami liela. </w:t>
      </w:r>
    </w:p>
    <w:p w14:paraId="6B4EB030" w14:textId="77777777" w:rsidR="004B3248" w:rsidRPr="00A8217F" w:rsidRDefault="004B3248" w:rsidP="004B3248">
      <w:pPr>
        <w:pStyle w:val="ListParagraph"/>
        <w:numPr>
          <w:ilvl w:val="0"/>
          <w:numId w:val="1"/>
        </w:numPr>
        <w:jc w:val="both"/>
        <w:rPr>
          <w:rFonts w:cs="Times New Roman"/>
          <w:sz w:val="24"/>
          <w:szCs w:val="24"/>
        </w:rPr>
      </w:pPr>
      <w:r w:rsidRPr="00A8217F">
        <w:rPr>
          <w:rFonts w:cs="Times New Roman"/>
          <w:sz w:val="24"/>
          <w:szCs w:val="24"/>
        </w:rPr>
        <w:t>Vai šādu semināru nevajadzēja organizēt, piemēram, pusgadu iepriekš, jo  mēneša laikā visu sagatavot nav iespējams?</w:t>
      </w:r>
    </w:p>
    <w:p w14:paraId="172FD2E8" w14:textId="1A2DCAC3" w:rsidR="00766A80" w:rsidRPr="00A8217F" w:rsidRDefault="00766A80" w:rsidP="00766A80">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Informācija par to, ka tiks veikta projektu iesniegumu atlase 3.1.1.5.pasākuma “Atbalsts ieguldījumiem ražošanas telpu un infrastruktūras izveidei vai rekonstrukcijai”, kā arī vispārēji nosacījumi šī pasākuma ietvaros interesentiem bija pieejama</w:t>
      </w:r>
      <w:r w:rsidR="00C70E61" w:rsidRPr="00A8217F">
        <w:rPr>
          <w:rFonts w:cs="Times New Roman"/>
          <w:sz w:val="24"/>
          <w:szCs w:val="24"/>
        </w:rPr>
        <w:t xml:space="preserve"> 12.04.2016., kad tika pieņemti MK noteikumi Nr.227 par 3.1.1.5.pasākuma īstenošanu.</w:t>
      </w:r>
      <w:r w:rsidRPr="00A8217F">
        <w:rPr>
          <w:rFonts w:cs="Times New Roman"/>
          <w:sz w:val="24"/>
          <w:szCs w:val="24"/>
        </w:rPr>
        <w:t xml:space="preserve"> </w:t>
      </w:r>
    </w:p>
    <w:p w14:paraId="44CA0877" w14:textId="77777777" w:rsidR="004B3248" w:rsidRPr="00A8217F" w:rsidRDefault="004B3248" w:rsidP="004B3248">
      <w:pPr>
        <w:pStyle w:val="ListParagraph"/>
        <w:numPr>
          <w:ilvl w:val="0"/>
          <w:numId w:val="1"/>
        </w:numPr>
        <w:jc w:val="both"/>
        <w:rPr>
          <w:rFonts w:cs="Times New Roman"/>
          <w:sz w:val="24"/>
          <w:szCs w:val="24"/>
        </w:rPr>
      </w:pPr>
      <w:bookmarkStart w:id="0" w:name="_GoBack"/>
      <w:bookmarkEnd w:id="0"/>
      <w:r w:rsidRPr="00A8217F">
        <w:rPr>
          <w:rFonts w:cs="Times New Roman"/>
          <w:sz w:val="24"/>
          <w:szCs w:val="24"/>
        </w:rPr>
        <w:t>Vai ir noteiktas maksimālās būvniecības 1 m</w:t>
      </w:r>
      <w:r w:rsidRPr="00A8217F">
        <w:rPr>
          <w:rFonts w:cs="Times New Roman"/>
          <w:sz w:val="24"/>
          <w:szCs w:val="24"/>
          <w:vertAlign w:val="superscript"/>
        </w:rPr>
        <w:t>2</w:t>
      </w:r>
      <w:r w:rsidRPr="00A8217F">
        <w:rPr>
          <w:rFonts w:cs="Times New Roman"/>
          <w:sz w:val="24"/>
          <w:szCs w:val="24"/>
        </w:rPr>
        <w:t xml:space="preserve"> izmaksas? </w:t>
      </w:r>
    </w:p>
    <w:p w14:paraId="0236D06E" w14:textId="20F00239" w:rsidR="00766A80" w:rsidRPr="00A8217F" w:rsidRDefault="00766A80" w:rsidP="00766A80">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xml:space="preserve">: </w:t>
      </w:r>
      <w:r w:rsidR="006720FA" w:rsidRPr="00A8217F">
        <w:rPr>
          <w:rFonts w:cs="Times New Roman"/>
          <w:sz w:val="24"/>
          <w:szCs w:val="24"/>
        </w:rPr>
        <w:t>Maksimālās būvniecības 1 m</w:t>
      </w:r>
      <w:r w:rsidR="006720FA" w:rsidRPr="00A8217F">
        <w:rPr>
          <w:rFonts w:cs="Times New Roman"/>
          <w:sz w:val="24"/>
          <w:szCs w:val="24"/>
          <w:vertAlign w:val="superscript"/>
        </w:rPr>
        <w:t>2</w:t>
      </w:r>
      <w:r w:rsidR="006720FA" w:rsidRPr="00A8217F">
        <w:rPr>
          <w:rFonts w:cs="Times New Roman"/>
          <w:sz w:val="24"/>
          <w:szCs w:val="24"/>
        </w:rPr>
        <w:t xml:space="preserve"> izmaksas nav noteiktas, bet projekta iesnieguma sagatavotājiem biznesa plānā ir jāpamato, ka plānotās būvdarbu izmaksas ir samērīgas, t.i., atbilstošas tirgus cenai. </w:t>
      </w:r>
    </w:p>
    <w:p w14:paraId="15B38DC8" w14:textId="77777777" w:rsidR="004B3248" w:rsidRPr="00A8217F" w:rsidRDefault="004B3248" w:rsidP="004B3248">
      <w:pPr>
        <w:pStyle w:val="ListParagraph"/>
        <w:numPr>
          <w:ilvl w:val="0"/>
          <w:numId w:val="1"/>
        </w:numPr>
        <w:jc w:val="both"/>
        <w:rPr>
          <w:rFonts w:cs="Times New Roman"/>
          <w:sz w:val="24"/>
          <w:szCs w:val="24"/>
        </w:rPr>
      </w:pPr>
      <w:r w:rsidRPr="00A8217F">
        <w:rPr>
          <w:rFonts w:cs="Times New Roman"/>
          <w:sz w:val="24"/>
          <w:szCs w:val="24"/>
        </w:rPr>
        <w:t>Vai izvērtējot būvniecības tirgus cenu tiks ņemtas vērā Nacionālās bibliotēkas un Dienvidu tilta būvniecības izmaksas?</w:t>
      </w:r>
    </w:p>
    <w:p w14:paraId="3291FDE1" w14:textId="5E4BBA0F" w:rsidR="006720FA" w:rsidRPr="00A8217F" w:rsidRDefault="006720FA" w:rsidP="006720FA">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xml:space="preserve">: Izmaksas par paredzētajiem būvdarbiem tiks vērtētas </w:t>
      </w:r>
      <w:r w:rsidR="00713CF8" w:rsidRPr="00A8217F">
        <w:rPr>
          <w:rFonts w:cs="Times New Roman"/>
          <w:sz w:val="24"/>
          <w:szCs w:val="24"/>
        </w:rPr>
        <w:t>katra plānošanas reģiona un attiecī</w:t>
      </w:r>
      <w:r w:rsidR="00FE6CB7" w:rsidRPr="00A8217F">
        <w:rPr>
          <w:rFonts w:cs="Times New Roman"/>
          <w:sz w:val="24"/>
          <w:szCs w:val="24"/>
        </w:rPr>
        <w:t>go</w:t>
      </w:r>
      <w:r w:rsidR="00713CF8" w:rsidRPr="00A8217F">
        <w:rPr>
          <w:rFonts w:cs="Times New Roman"/>
          <w:sz w:val="24"/>
          <w:szCs w:val="24"/>
        </w:rPr>
        <w:t xml:space="preserve"> būvdarbu veida griezumā. </w:t>
      </w:r>
    </w:p>
    <w:p w14:paraId="2452EF40" w14:textId="77777777" w:rsidR="004B3248" w:rsidRPr="00A8217F" w:rsidRDefault="004B3248" w:rsidP="004B3248">
      <w:pPr>
        <w:pStyle w:val="ListParagraph"/>
        <w:numPr>
          <w:ilvl w:val="0"/>
          <w:numId w:val="1"/>
        </w:numPr>
        <w:jc w:val="both"/>
        <w:rPr>
          <w:rFonts w:cs="Times New Roman"/>
          <w:sz w:val="24"/>
          <w:szCs w:val="24"/>
        </w:rPr>
      </w:pPr>
      <w:r w:rsidRPr="00A8217F">
        <w:rPr>
          <w:rFonts w:cs="Times New Roman"/>
          <w:sz w:val="24"/>
          <w:szCs w:val="24"/>
        </w:rPr>
        <w:t xml:space="preserve">Vai attiecināmās it tikai tās izmaksas, kas veiktas pēc projekta iesnieguma iesniegšanas? </w:t>
      </w:r>
    </w:p>
    <w:p w14:paraId="03FB27AC" w14:textId="56D8E4EC" w:rsidR="00713CF8" w:rsidRPr="00A8217F" w:rsidRDefault="00713CF8" w:rsidP="00713CF8">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xml:space="preserve">: Saskaņā ar MK Noteikumu Nr.227 </w:t>
      </w:r>
      <w:r w:rsidR="00A2349B" w:rsidRPr="00A8217F">
        <w:rPr>
          <w:rFonts w:cs="Times New Roman"/>
          <w:sz w:val="24"/>
          <w:szCs w:val="24"/>
        </w:rPr>
        <w:t>26.p</w:t>
      </w:r>
      <w:r w:rsidRPr="00A8217F">
        <w:rPr>
          <w:rFonts w:cs="Times New Roman"/>
          <w:sz w:val="24"/>
          <w:szCs w:val="24"/>
        </w:rPr>
        <w:t xml:space="preserve">unktā minēto izmaksas ir attiecināmas pēc projekta iesnieguma iesniegšanas CFLA, izņēmums – būvniecības dokumentācijas sagatavošanas izmaksas - ir minēts MK noteikumu 20.punktā. </w:t>
      </w:r>
    </w:p>
    <w:p w14:paraId="1CB12991" w14:textId="2BF03DC6" w:rsidR="004B3248" w:rsidRPr="00A8217F" w:rsidRDefault="004B3248" w:rsidP="004B3248">
      <w:pPr>
        <w:pStyle w:val="ListParagraph"/>
        <w:numPr>
          <w:ilvl w:val="0"/>
          <w:numId w:val="1"/>
        </w:numPr>
        <w:jc w:val="both"/>
        <w:rPr>
          <w:rFonts w:cs="Times New Roman"/>
          <w:sz w:val="24"/>
          <w:szCs w:val="24"/>
        </w:rPr>
      </w:pPr>
      <w:r w:rsidRPr="00A8217F">
        <w:rPr>
          <w:rFonts w:cs="Times New Roman"/>
          <w:sz w:val="24"/>
          <w:szCs w:val="24"/>
        </w:rPr>
        <w:t>J</w:t>
      </w:r>
      <w:r w:rsidR="00713CF8" w:rsidRPr="00A8217F">
        <w:rPr>
          <w:rFonts w:cs="Times New Roman"/>
          <w:sz w:val="24"/>
          <w:szCs w:val="24"/>
        </w:rPr>
        <w:t>autājums par 1</w:t>
      </w:r>
      <w:r w:rsidRPr="00A8217F">
        <w:rPr>
          <w:rFonts w:cs="Times New Roman"/>
          <w:sz w:val="24"/>
          <w:szCs w:val="24"/>
        </w:rPr>
        <w:t>.6.1.punktu – atbalstāmo komersantu skaits. Vai skaita tikai savu uzņēmumu, vai pieskaita arī nomniekus? Tāpat arī par darb</w:t>
      </w:r>
      <w:r w:rsidR="00DE11E1" w:rsidRPr="00A8217F">
        <w:rPr>
          <w:rFonts w:cs="Times New Roman"/>
          <w:sz w:val="24"/>
          <w:szCs w:val="24"/>
        </w:rPr>
        <w:t>a</w:t>
      </w:r>
      <w:r w:rsidRPr="00A8217F">
        <w:rPr>
          <w:rFonts w:cs="Times New Roman"/>
          <w:sz w:val="24"/>
          <w:szCs w:val="24"/>
        </w:rPr>
        <w:t xml:space="preserve"> vietām – </w:t>
      </w:r>
      <w:r w:rsidR="00DE11E1" w:rsidRPr="00A8217F">
        <w:rPr>
          <w:rFonts w:cs="Times New Roman"/>
          <w:sz w:val="24"/>
          <w:szCs w:val="24"/>
        </w:rPr>
        <w:t xml:space="preserve">vai tikai sava uzņēmuma </w:t>
      </w:r>
      <w:r w:rsidRPr="00A8217F">
        <w:rPr>
          <w:rFonts w:cs="Times New Roman"/>
          <w:sz w:val="24"/>
          <w:szCs w:val="24"/>
        </w:rPr>
        <w:t xml:space="preserve"> </w:t>
      </w:r>
      <w:r w:rsidR="00DE11E1" w:rsidRPr="00A8217F">
        <w:rPr>
          <w:rFonts w:cs="Times New Roman"/>
          <w:sz w:val="24"/>
          <w:szCs w:val="24"/>
        </w:rPr>
        <w:t>darba vietas, vai var pieskaitīt arī nomnieku darba vietas?</w:t>
      </w:r>
    </w:p>
    <w:p w14:paraId="61288912" w14:textId="3E62B73C" w:rsidR="00713CF8" w:rsidRPr="00A8217F" w:rsidRDefault="00713CF8" w:rsidP="00713CF8">
      <w:pPr>
        <w:ind w:left="360"/>
        <w:jc w:val="both"/>
        <w:rPr>
          <w:rFonts w:cs="Times New Roman"/>
          <w:sz w:val="24"/>
          <w:szCs w:val="24"/>
        </w:rPr>
      </w:pPr>
      <w:r w:rsidRPr="00A8217F">
        <w:rPr>
          <w:rFonts w:cs="Times New Roman"/>
          <w:b/>
          <w:sz w:val="24"/>
          <w:szCs w:val="24"/>
        </w:rPr>
        <w:lastRenderedPageBreak/>
        <w:t>Atbilde</w:t>
      </w:r>
      <w:r w:rsidRPr="00A8217F">
        <w:rPr>
          <w:rFonts w:cs="Times New Roman"/>
          <w:sz w:val="24"/>
          <w:szCs w:val="24"/>
        </w:rPr>
        <w:t xml:space="preserve">: Projekta iesnieguma veidlapas 1.6.1.sadaļā kā atbalstāmais komersants ir jānorāda tikai projekta iesniedzējs, kas būs projekta īstenotājs un ERAF finansējuma saņēmējs. </w:t>
      </w:r>
    </w:p>
    <w:p w14:paraId="539465CF" w14:textId="77777777" w:rsidR="00DE11E1" w:rsidRPr="00A8217F" w:rsidRDefault="00DE11E1" w:rsidP="004B3248">
      <w:pPr>
        <w:pStyle w:val="ListParagraph"/>
        <w:numPr>
          <w:ilvl w:val="0"/>
          <w:numId w:val="1"/>
        </w:numPr>
        <w:jc w:val="both"/>
        <w:rPr>
          <w:rFonts w:cs="Times New Roman"/>
          <w:sz w:val="24"/>
          <w:szCs w:val="24"/>
        </w:rPr>
      </w:pPr>
      <w:r w:rsidRPr="00A8217F">
        <w:rPr>
          <w:rFonts w:cs="Times New Roman"/>
          <w:sz w:val="24"/>
          <w:szCs w:val="24"/>
        </w:rPr>
        <w:t xml:space="preserve">Vai KP VIS darbojas arī citos pārlūkos, piemēram, </w:t>
      </w:r>
      <w:r w:rsidRPr="00A8217F">
        <w:rPr>
          <w:rFonts w:cs="Times New Roman"/>
          <w:i/>
          <w:sz w:val="24"/>
          <w:szCs w:val="24"/>
        </w:rPr>
        <w:t>SAFARI</w:t>
      </w:r>
      <w:r w:rsidRPr="00A8217F">
        <w:rPr>
          <w:rFonts w:cs="Times New Roman"/>
          <w:sz w:val="24"/>
          <w:szCs w:val="24"/>
        </w:rPr>
        <w:t>?</w:t>
      </w:r>
    </w:p>
    <w:p w14:paraId="6C1C5182" w14:textId="3EC83371" w:rsidR="00713CF8" w:rsidRPr="00A8217F" w:rsidRDefault="00713CF8" w:rsidP="00713CF8">
      <w:pPr>
        <w:ind w:left="360"/>
        <w:jc w:val="both"/>
        <w:rPr>
          <w:rFonts w:cs="Times New Roman"/>
          <w:sz w:val="24"/>
          <w:szCs w:val="24"/>
        </w:rPr>
      </w:pPr>
      <w:r w:rsidRPr="00A8217F">
        <w:rPr>
          <w:rFonts w:cs="Times New Roman"/>
          <w:b/>
          <w:sz w:val="24"/>
          <w:szCs w:val="24"/>
        </w:rPr>
        <w:t>Atbilde</w:t>
      </w:r>
      <w:r w:rsidRPr="00A8217F">
        <w:rPr>
          <w:rFonts w:cs="Times New Roman"/>
          <w:sz w:val="24"/>
          <w:szCs w:val="24"/>
        </w:rPr>
        <w:t xml:space="preserve">: </w:t>
      </w:r>
      <w:r w:rsidR="001D3B26" w:rsidRPr="00A8217F">
        <w:rPr>
          <w:rFonts w:cs="Times New Roman"/>
          <w:sz w:val="24"/>
          <w:szCs w:val="24"/>
        </w:rPr>
        <w:t>Iesakām izmantot CFLA mājas lapā (</w:t>
      </w:r>
      <w:hyperlink r:id="rId5" w:history="1">
        <w:r w:rsidR="001D3B26" w:rsidRPr="00A8217F">
          <w:rPr>
            <w:rStyle w:val="Hyperlink"/>
            <w:rFonts w:cs="Times New Roman"/>
            <w:sz w:val="24"/>
            <w:szCs w:val="24"/>
          </w:rPr>
          <w:t>http://www.cfla.gov.lv/lv/par-mums/pakalpojumi/e-vide-14-20</w:t>
        </w:r>
      </w:hyperlink>
      <w:r w:rsidR="001D3B26" w:rsidRPr="00A8217F">
        <w:rPr>
          <w:rFonts w:cs="Times New Roman"/>
          <w:sz w:val="24"/>
          <w:szCs w:val="24"/>
        </w:rPr>
        <w:t xml:space="preserve">) norādītās interneta pārlūkprogrammas. </w:t>
      </w:r>
    </w:p>
    <w:p w14:paraId="7F1290A2" w14:textId="77777777" w:rsidR="004B3248" w:rsidRPr="00A8217F" w:rsidRDefault="004B3248" w:rsidP="004B3248">
      <w:pPr>
        <w:ind w:left="360"/>
        <w:jc w:val="both"/>
        <w:rPr>
          <w:rFonts w:cs="Times New Roman"/>
          <w:sz w:val="24"/>
          <w:szCs w:val="24"/>
        </w:rPr>
      </w:pPr>
    </w:p>
    <w:p w14:paraId="0643A046" w14:textId="77777777" w:rsidR="004B3248" w:rsidRPr="00A8217F" w:rsidRDefault="004B3248" w:rsidP="004B3248">
      <w:pPr>
        <w:jc w:val="both"/>
        <w:rPr>
          <w:rFonts w:cs="Times New Roman"/>
          <w:sz w:val="24"/>
          <w:szCs w:val="24"/>
        </w:rPr>
      </w:pPr>
    </w:p>
    <w:sectPr w:rsidR="004B3248" w:rsidRPr="00A8217F" w:rsidSect="00A8217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27275"/>
    <w:multiLevelType w:val="hybridMultilevel"/>
    <w:tmpl w:val="9F9EE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48"/>
    <w:rsid w:val="0000128D"/>
    <w:rsid w:val="000204F7"/>
    <w:rsid w:val="00020865"/>
    <w:rsid w:val="000261B8"/>
    <w:rsid w:val="00027656"/>
    <w:rsid w:val="00031862"/>
    <w:rsid w:val="000346DE"/>
    <w:rsid w:val="00040F7B"/>
    <w:rsid w:val="00050B41"/>
    <w:rsid w:val="00053B32"/>
    <w:rsid w:val="00061688"/>
    <w:rsid w:val="00062928"/>
    <w:rsid w:val="000635E8"/>
    <w:rsid w:val="000652AE"/>
    <w:rsid w:val="00072B02"/>
    <w:rsid w:val="00081AD5"/>
    <w:rsid w:val="00084BDE"/>
    <w:rsid w:val="000857BB"/>
    <w:rsid w:val="00091ED1"/>
    <w:rsid w:val="000945B6"/>
    <w:rsid w:val="000A3140"/>
    <w:rsid w:val="000B07A0"/>
    <w:rsid w:val="000C0612"/>
    <w:rsid w:val="000D72C9"/>
    <w:rsid w:val="000D7C4A"/>
    <w:rsid w:val="000E35C5"/>
    <w:rsid w:val="000F113C"/>
    <w:rsid w:val="000F4AB5"/>
    <w:rsid w:val="0011292F"/>
    <w:rsid w:val="00116D20"/>
    <w:rsid w:val="001428CC"/>
    <w:rsid w:val="00147B89"/>
    <w:rsid w:val="001540A9"/>
    <w:rsid w:val="00154F5A"/>
    <w:rsid w:val="00155952"/>
    <w:rsid w:val="0016358F"/>
    <w:rsid w:val="00165B64"/>
    <w:rsid w:val="00174CBA"/>
    <w:rsid w:val="00184B1B"/>
    <w:rsid w:val="0018600A"/>
    <w:rsid w:val="00191E77"/>
    <w:rsid w:val="001953B8"/>
    <w:rsid w:val="001969D3"/>
    <w:rsid w:val="001A3D86"/>
    <w:rsid w:val="001A4F63"/>
    <w:rsid w:val="001A7DE6"/>
    <w:rsid w:val="001C555F"/>
    <w:rsid w:val="001C7939"/>
    <w:rsid w:val="001D1919"/>
    <w:rsid w:val="001D2E6B"/>
    <w:rsid w:val="001D3B26"/>
    <w:rsid w:val="001D51A5"/>
    <w:rsid w:val="001D67ED"/>
    <w:rsid w:val="001E0B68"/>
    <w:rsid w:val="001F5DB4"/>
    <w:rsid w:val="00204760"/>
    <w:rsid w:val="0021059E"/>
    <w:rsid w:val="002165B1"/>
    <w:rsid w:val="002177D7"/>
    <w:rsid w:val="0022083C"/>
    <w:rsid w:val="00223EC4"/>
    <w:rsid w:val="00226E80"/>
    <w:rsid w:val="00240217"/>
    <w:rsid w:val="00243585"/>
    <w:rsid w:val="00250EC5"/>
    <w:rsid w:val="00253B79"/>
    <w:rsid w:val="00261592"/>
    <w:rsid w:val="00262245"/>
    <w:rsid w:val="00264217"/>
    <w:rsid w:val="00266FFB"/>
    <w:rsid w:val="00271CB6"/>
    <w:rsid w:val="002739C9"/>
    <w:rsid w:val="00282FC0"/>
    <w:rsid w:val="00292B51"/>
    <w:rsid w:val="00293B1E"/>
    <w:rsid w:val="002A53CC"/>
    <w:rsid w:val="002A751C"/>
    <w:rsid w:val="002C0A93"/>
    <w:rsid w:val="002C295A"/>
    <w:rsid w:val="002D58A3"/>
    <w:rsid w:val="002E1FB9"/>
    <w:rsid w:val="003000CF"/>
    <w:rsid w:val="00301652"/>
    <w:rsid w:val="003124E0"/>
    <w:rsid w:val="00313227"/>
    <w:rsid w:val="00324A69"/>
    <w:rsid w:val="00351C8E"/>
    <w:rsid w:val="00362CFD"/>
    <w:rsid w:val="00373565"/>
    <w:rsid w:val="003758CD"/>
    <w:rsid w:val="00380595"/>
    <w:rsid w:val="00384326"/>
    <w:rsid w:val="003845A3"/>
    <w:rsid w:val="00386429"/>
    <w:rsid w:val="00391105"/>
    <w:rsid w:val="003A77B8"/>
    <w:rsid w:val="003A794B"/>
    <w:rsid w:val="003B4DAE"/>
    <w:rsid w:val="003C6291"/>
    <w:rsid w:val="003E3355"/>
    <w:rsid w:val="003E4D6F"/>
    <w:rsid w:val="003E7B3F"/>
    <w:rsid w:val="003F3799"/>
    <w:rsid w:val="003F620E"/>
    <w:rsid w:val="00400ADC"/>
    <w:rsid w:val="00401149"/>
    <w:rsid w:val="00403719"/>
    <w:rsid w:val="00405D62"/>
    <w:rsid w:val="00420832"/>
    <w:rsid w:val="00425518"/>
    <w:rsid w:val="00427A28"/>
    <w:rsid w:val="00427D0C"/>
    <w:rsid w:val="004335A3"/>
    <w:rsid w:val="00436A7B"/>
    <w:rsid w:val="00442895"/>
    <w:rsid w:val="00451A63"/>
    <w:rsid w:val="004527FC"/>
    <w:rsid w:val="004536EB"/>
    <w:rsid w:val="00453D60"/>
    <w:rsid w:val="004554E6"/>
    <w:rsid w:val="00463918"/>
    <w:rsid w:val="00471FD3"/>
    <w:rsid w:val="0047537D"/>
    <w:rsid w:val="00483959"/>
    <w:rsid w:val="00485E43"/>
    <w:rsid w:val="00490D77"/>
    <w:rsid w:val="00497314"/>
    <w:rsid w:val="004B3248"/>
    <w:rsid w:val="004C2FBC"/>
    <w:rsid w:val="004D0535"/>
    <w:rsid w:val="004D4327"/>
    <w:rsid w:val="004D4F73"/>
    <w:rsid w:val="004E02F2"/>
    <w:rsid w:val="004E0E86"/>
    <w:rsid w:val="00500B7B"/>
    <w:rsid w:val="0050294A"/>
    <w:rsid w:val="0051764A"/>
    <w:rsid w:val="005263E3"/>
    <w:rsid w:val="00527B60"/>
    <w:rsid w:val="00543F01"/>
    <w:rsid w:val="00546521"/>
    <w:rsid w:val="0055341B"/>
    <w:rsid w:val="00556864"/>
    <w:rsid w:val="005631E7"/>
    <w:rsid w:val="00567AB9"/>
    <w:rsid w:val="00570F38"/>
    <w:rsid w:val="00577323"/>
    <w:rsid w:val="005828CB"/>
    <w:rsid w:val="00584431"/>
    <w:rsid w:val="005C18C1"/>
    <w:rsid w:val="005D3BA8"/>
    <w:rsid w:val="005D5EE5"/>
    <w:rsid w:val="005D651E"/>
    <w:rsid w:val="005E2981"/>
    <w:rsid w:val="005E5A0D"/>
    <w:rsid w:val="00602BB7"/>
    <w:rsid w:val="00606E7A"/>
    <w:rsid w:val="00607ADE"/>
    <w:rsid w:val="0061051A"/>
    <w:rsid w:val="00611E6A"/>
    <w:rsid w:val="006207E1"/>
    <w:rsid w:val="006308F9"/>
    <w:rsid w:val="00632525"/>
    <w:rsid w:val="006427D1"/>
    <w:rsid w:val="006462F4"/>
    <w:rsid w:val="00650F8E"/>
    <w:rsid w:val="00656AAC"/>
    <w:rsid w:val="00656EA7"/>
    <w:rsid w:val="00662DE6"/>
    <w:rsid w:val="00665314"/>
    <w:rsid w:val="00670A23"/>
    <w:rsid w:val="006720FA"/>
    <w:rsid w:val="006743DB"/>
    <w:rsid w:val="006839DA"/>
    <w:rsid w:val="00686AE0"/>
    <w:rsid w:val="006927BD"/>
    <w:rsid w:val="006A2410"/>
    <w:rsid w:val="006B0D9F"/>
    <w:rsid w:val="006B25F0"/>
    <w:rsid w:val="006B4D1F"/>
    <w:rsid w:val="006C5899"/>
    <w:rsid w:val="006D2291"/>
    <w:rsid w:val="006D7D40"/>
    <w:rsid w:val="006E5C7B"/>
    <w:rsid w:val="0070218C"/>
    <w:rsid w:val="00713CF8"/>
    <w:rsid w:val="007247DB"/>
    <w:rsid w:val="007321B5"/>
    <w:rsid w:val="00750557"/>
    <w:rsid w:val="00750611"/>
    <w:rsid w:val="00752792"/>
    <w:rsid w:val="00752F5B"/>
    <w:rsid w:val="0075388C"/>
    <w:rsid w:val="00754A82"/>
    <w:rsid w:val="00761F11"/>
    <w:rsid w:val="00766A80"/>
    <w:rsid w:val="00766DEB"/>
    <w:rsid w:val="00771AD5"/>
    <w:rsid w:val="007928EE"/>
    <w:rsid w:val="007945DC"/>
    <w:rsid w:val="00795413"/>
    <w:rsid w:val="00796C81"/>
    <w:rsid w:val="007A1076"/>
    <w:rsid w:val="007A7B83"/>
    <w:rsid w:val="007B0CD8"/>
    <w:rsid w:val="007B58FA"/>
    <w:rsid w:val="007E1732"/>
    <w:rsid w:val="007F2524"/>
    <w:rsid w:val="007F2699"/>
    <w:rsid w:val="007F4BBD"/>
    <w:rsid w:val="00802D94"/>
    <w:rsid w:val="00810FA2"/>
    <w:rsid w:val="00832B47"/>
    <w:rsid w:val="008436F2"/>
    <w:rsid w:val="00851BDD"/>
    <w:rsid w:val="00852361"/>
    <w:rsid w:val="00853163"/>
    <w:rsid w:val="00857232"/>
    <w:rsid w:val="008574E7"/>
    <w:rsid w:val="0087168D"/>
    <w:rsid w:val="00873634"/>
    <w:rsid w:val="00876440"/>
    <w:rsid w:val="008800E7"/>
    <w:rsid w:val="008811E5"/>
    <w:rsid w:val="008908D1"/>
    <w:rsid w:val="008A3748"/>
    <w:rsid w:val="008B0538"/>
    <w:rsid w:val="008B200E"/>
    <w:rsid w:val="008C254C"/>
    <w:rsid w:val="008C650B"/>
    <w:rsid w:val="008D307E"/>
    <w:rsid w:val="008D455E"/>
    <w:rsid w:val="008D7B2C"/>
    <w:rsid w:val="008D7EFC"/>
    <w:rsid w:val="008F11EA"/>
    <w:rsid w:val="009118E7"/>
    <w:rsid w:val="00915A21"/>
    <w:rsid w:val="00916407"/>
    <w:rsid w:val="00920E92"/>
    <w:rsid w:val="00921F39"/>
    <w:rsid w:val="00923260"/>
    <w:rsid w:val="0092585F"/>
    <w:rsid w:val="00925FBE"/>
    <w:rsid w:val="0092713F"/>
    <w:rsid w:val="00934742"/>
    <w:rsid w:val="0094104C"/>
    <w:rsid w:val="0094461E"/>
    <w:rsid w:val="009557E7"/>
    <w:rsid w:val="00956D1F"/>
    <w:rsid w:val="00960298"/>
    <w:rsid w:val="00965D05"/>
    <w:rsid w:val="00970E2E"/>
    <w:rsid w:val="00986C27"/>
    <w:rsid w:val="00994DBB"/>
    <w:rsid w:val="00996645"/>
    <w:rsid w:val="009A6630"/>
    <w:rsid w:val="009B43E9"/>
    <w:rsid w:val="009C5C97"/>
    <w:rsid w:val="009C6D7C"/>
    <w:rsid w:val="009F0644"/>
    <w:rsid w:val="009F2346"/>
    <w:rsid w:val="00A02F88"/>
    <w:rsid w:val="00A076B0"/>
    <w:rsid w:val="00A14FA0"/>
    <w:rsid w:val="00A218AE"/>
    <w:rsid w:val="00A23407"/>
    <w:rsid w:val="00A2349B"/>
    <w:rsid w:val="00A258D9"/>
    <w:rsid w:val="00A42228"/>
    <w:rsid w:val="00A62C01"/>
    <w:rsid w:val="00A70F8B"/>
    <w:rsid w:val="00A75AB3"/>
    <w:rsid w:val="00A8217F"/>
    <w:rsid w:val="00A867D5"/>
    <w:rsid w:val="00A94D08"/>
    <w:rsid w:val="00A97DA2"/>
    <w:rsid w:val="00AA0167"/>
    <w:rsid w:val="00AB3BB0"/>
    <w:rsid w:val="00AB5CFA"/>
    <w:rsid w:val="00AC2D26"/>
    <w:rsid w:val="00AC67FE"/>
    <w:rsid w:val="00AD4E74"/>
    <w:rsid w:val="00AE1E85"/>
    <w:rsid w:val="00AE715C"/>
    <w:rsid w:val="00AE7AF0"/>
    <w:rsid w:val="00AF0D2C"/>
    <w:rsid w:val="00AF135A"/>
    <w:rsid w:val="00AF4D63"/>
    <w:rsid w:val="00B11A31"/>
    <w:rsid w:val="00B11B1C"/>
    <w:rsid w:val="00B13964"/>
    <w:rsid w:val="00B216B4"/>
    <w:rsid w:val="00B22F7E"/>
    <w:rsid w:val="00B30D0D"/>
    <w:rsid w:val="00B41431"/>
    <w:rsid w:val="00B43527"/>
    <w:rsid w:val="00B441E6"/>
    <w:rsid w:val="00B45B45"/>
    <w:rsid w:val="00B67832"/>
    <w:rsid w:val="00B8255F"/>
    <w:rsid w:val="00B916B7"/>
    <w:rsid w:val="00BA58DA"/>
    <w:rsid w:val="00BB1A04"/>
    <w:rsid w:val="00BB1B01"/>
    <w:rsid w:val="00BC47FB"/>
    <w:rsid w:val="00BC721A"/>
    <w:rsid w:val="00BD1886"/>
    <w:rsid w:val="00BD4EE1"/>
    <w:rsid w:val="00BD7399"/>
    <w:rsid w:val="00BF161B"/>
    <w:rsid w:val="00C030FD"/>
    <w:rsid w:val="00C11D84"/>
    <w:rsid w:val="00C13C54"/>
    <w:rsid w:val="00C176EA"/>
    <w:rsid w:val="00C25527"/>
    <w:rsid w:val="00C37709"/>
    <w:rsid w:val="00C50605"/>
    <w:rsid w:val="00C50A67"/>
    <w:rsid w:val="00C5373D"/>
    <w:rsid w:val="00C70E61"/>
    <w:rsid w:val="00C7325F"/>
    <w:rsid w:val="00C80343"/>
    <w:rsid w:val="00C85AC9"/>
    <w:rsid w:val="00C92973"/>
    <w:rsid w:val="00C94C3A"/>
    <w:rsid w:val="00CA1888"/>
    <w:rsid w:val="00CB3256"/>
    <w:rsid w:val="00CB642A"/>
    <w:rsid w:val="00CC18A9"/>
    <w:rsid w:val="00CC7C0D"/>
    <w:rsid w:val="00CF284D"/>
    <w:rsid w:val="00CF4F98"/>
    <w:rsid w:val="00D02FBE"/>
    <w:rsid w:val="00D24CF2"/>
    <w:rsid w:val="00D25CDD"/>
    <w:rsid w:val="00D31EBC"/>
    <w:rsid w:val="00D33EC5"/>
    <w:rsid w:val="00D4589D"/>
    <w:rsid w:val="00D536E8"/>
    <w:rsid w:val="00D57E28"/>
    <w:rsid w:val="00D57E4F"/>
    <w:rsid w:val="00D60D7A"/>
    <w:rsid w:val="00D7579C"/>
    <w:rsid w:val="00D838EF"/>
    <w:rsid w:val="00D84184"/>
    <w:rsid w:val="00D92B64"/>
    <w:rsid w:val="00DA0106"/>
    <w:rsid w:val="00DA40A7"/>
    <w:rsid w:val="00DB0A53"/>
    <w:rsid w:val="00DB65F6"/>
    <w:rsid w:val="00DD0530"/>
    <w:rsid w:val="00DD4B9E"/>
    <w:rsid w:val="00DD5FFD"/>
    <w:rsid w:val="00DE11E1"/>
    <w:rsid w:val="00DE2A71"/>
    <w:rsid w:val="00DE3336"/>
    <w:rsid w:val="00DE3A82"/>
    <w:rsid w:val="00DF379C"/>
    <w:rsid w:val="00DF4988"/>
    <w:rsid w:val="00E0574B"/>
    <w:rsid w:val="00E05801"/>
    <w:rsid w:val="00E10246"/>
    <w:rsid w:val="00E2663E"/>
    <w:rsid w:val="00E31FC8"/>
    <w:rsid w:val="00E32F2C"/>
    <w:rsid w:val="00E35137"/>
    <w:rsid w:val="00E505F5"/>
    <w:rsid w:val="00E50F00"/>
    <w:rsid w:val="00E51DA4"/>
    <w:rsid w:val="00E557FC"/>
    <w:rsid w:val="00E82268"/>
    <w:rsid w:val="00E8445B"/>
    <w:rsid w:val="00E845F0"/>
    <w:rsid w:val="00E856A9"/>
    <w:rsid w:val="00E9082C"/>
    <w:rsid w:val="00E9425D"/>
    <w:rsid w:val="00EA371B"/>
    <w:rsid w:val="00EA550F"/>
    <w:rsid w:val="00EA6827"/>
    <w:rsid w:val="00EA6E15"/>
    <w:rsid w:val="00EB05E4"/>
    <w:rsid w:val="00EC636C"/>
    <w:rsid w:val="00ED342A"/>
    <w:rsid w:val="00ED52C4"/>
    <w:rsid w:val="00EF1B41"/>
    <w:rsid w:val="00EF29ED"/>
    <w:rsid w:val="00F01CE8"/>
    <w:rsid w:val="00F03A17"/>
    <w:rsid w:val="00F068D6"/>
    <w:rsid w:val="00F14DB7"/>
    <w:rsid w:val="00F20FF1"/>
    <w:rsid w:val="00F41127"/>
    <w:rsid w:val="00F60E52"/>
    <w:rsid w:val="00F631C2"/>
    <w:rsid w:val="00F707C3"/>
    <w:rsid w:val="00F835B2"/>
    <w:rsid w:val="00FB25F3"/>
    <w:rsid w:val="00FB5C33"/>
    <w:rsid w:val="00FC2B73"/>
    <w:rsid w:val="00FC3E4C"/>
    <w:rsid w:val="00FC765C"/>
    <w:rsid w:val="00FD3424"/>
    <w:rsid w:val="00FD4899"/>
    <w:rsid w:val="00FD71C6"/>
    <w:rsid w:val="00FE6CB7"/>
    <w:rsid w:val="00FE79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37E3"/>
  <w15:chartTrackingRefBased/>
  <w15:docId w15:val="{78C4515A-6571-4002-A422-9B0E5A4C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248"/>
    <w:pPr>
      <w:ind w:left="720"/>
      <w:contextualSpacing/>
    </w:pPr>
  </w:style>
  <w:style w:type="character" w:styleId="CommentReference">
    <w:name w:val="annotation reference"/>
    <w:basedOn w:val="DefaultParagraphFont"/>
    <w:uiPriority w:val="99"/>
    <w:semiHidden/>
    <w:unhideWhenUsed/>
    <w:rsid w:val="00405D62"/>
    <w:rPr>
      <w:sz w:val="16"/>
      <w:szCs w:val="16"/>
    </w:rPr>
  </w:style>
  <w:style w:type="paragraph" w:styleId="CommentText">
    <w:name w:val="annotation text"/>
    <w:basedOn w:val="Normal"/>
    <w:link w:val="CommentTextChar"/>
    <w:uiPriority w:val="99"/>
    <w:semiHidden/>
    <w:unhideWhenUsed/>
    <w:rsid w:val="00405D62"/>
    <w:pPr>
      <w:spacing w:line="240" w:lineRule="auto"/>
    </w:pPr>
    <w:rPr>
      <w:sz w:val="20"/>
      <w:szCs w:val="20"/>
    </w:rPr>
  </w:style>
  <w:style w:type="character" w:customStyle="1" w:styleId="CommentTextChar">
    <w:name w:val="Comment Text Char"/>
    <w:basedOn w:val="DefaultParagraphFont"/>
    <w:link w:val="CommentText"/>
    <w:uiPriority w:val="99"/>
    <w:semiHidden/>
    <w:rsid w:val="00405D62"/>
    <w:rPr>
      <w:sz w:val="20"/>
      <w:szCs w:val="20"/>
    </w:rPr>
  </w:style>
  <w:style w:type="paragraph" w:styleId="CommentSubject">
    <w:name w:val="annotation subject"/>
    <w:basedOn w:val="CommentText"/>
    <w:next w:val="CommentText"/>
    <w:link w:val="CommentSubjectChar"/>
    <w:uiPriority w:val="99"/>
    <w:semiHidden/>
    <w:unhideWhenUsed/>
    <w:rsid w:val="00405D62"/>
    <w:rPr>
      <w:b/>
      <w:bCs/>
    </w:rPr>
  </w:style>
  <w:style w:type="character" w:customStyle="1" w:styleId="CommentSubjectChar">
    <w:name w:val="Comment Subject Char"/>
    <w:basedOn w:val="CommentTextChar"/>
    <w:link w:val="CommentSubject"/>
    <w:uiPriority w:val="99"/>
    <w:semiHidden/>
    <w:rsid w:val="00405D62"/>
    <w:rPr>
      <w:b/>
      <w:bCs/>
      <w:sz w:val="20"/>
      <w:szCs w:val="20"/>
    </w:rPr>
  </w:style>
  <w:style w:type="paragraph" w:styleId="BalloonText">
    <w:name w:val="Balloon Text"/>
    <w:basedOn w:val="Normal"/>
    <w:link w:val="BalloonTextChar"/>
    <w:uiPriority w:val="99"/>
    <w:semiHidden/>
    <w:unhideWhenUsed/>
    <w:rsid w:val="0040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62"/>
    <w:rPr>
      <w:rFonts w:ascii="Segoe UI" w:hAnsi="Segoe UI" w:cs="Segoe UI"/>
      <w:sz w:val="18"/>
      <w:szCs w:val="18"/>
    </w:rPr>
  </w:style>
  <w:style w:type="character" w:styleId="Hyperlink">
    <w:name w:val="Hyperlink"/>
    <w:basedOn w:val="DefaultParagraphFont"/>
    <w:uiPriority w:val="99"/>
    <w:unhideWhenUsed/>
    <w:rsid w:val="001D3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fla.gov.lv/lv/par-mums/pakalpojumi/e-vide-14-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DAF4BB8E</Template>
  <TotalTime>4</TotalTime>
  <Pages>3</Pages>
  <Words>3961</Words>
  <Characters>2259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Gunta Golde</cp:lastModifiedBy>
  <cp:revision>5</cp:revision>
  <dcterms:created xsi:type="dcterms:W3CDTF">2016-07-11T10:46:00Z</dcterms:created>
  <dcterms:modified xsi:type="dcterms:W3CDTF">2016-07-11T10:50:00Z</dcterms:modified>
</cp:coreProperties>
</file>