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DC57C" w14:textId="12114069" w:rsidR="00A877F7" w:rsidRDefault="00F9220F" w:rsidP="00C00FEC">
      <w:pPr>
        <w:jc w:val="both"/>
        <w:rPr>
          <w:b/>
        </w:rPr>
      </w:pPr>
      <w:r>
        <w:rPr>
          <w:b/>
        </w:rPr>
        <w:t>04.07</w:t>
      </w:r>
      <w:r w:rsidR="00A877F7">
        <w:rPr>
          <w:b/>
        </w:rPr>
        <w:t>.2016.</w:t>
      </w:r>
    </w:p>
    <w:p w14:paraId="42147F58" w14:textId="77777777" w:rsidR="00496A69" w:rsidRPr="00496A69" w:rsidRDefault="00A877F7" w:rsidP="00496A69">
      <w:pPr>
        <w:jc w:val="both"/>
      </w:pPr>
      <w:r>
        <w:rPr>
          <w:b/>
        </w:rPr>
        <w:t>1</w:t>
      </w:r>
      <w:r w:rsidR="009A7D48" w:rsidRPr="009A7D48">
        <w:rPr>
          <w:b/>
        </w:rPr>
        <w:t xml:space="preserve">.Jautājums: </w:t>
      </w:r>
      <w:r w:rsidR="00496A69" w:rsidRPr="00496A69">
        <w:t>Sakiet lūdzu vai ailē  - par kopējo biedru apgrozījumu var būt arī par 2014 gadu? (jo visi asociācijas biedri nav iesnieguši šādu informāciju un, lai uzzinātu par katru ir par to jāmaksā atsevišķi)</w:t>
      </w:r>
    </w:p>
    <w:p w14:paraId="2766325B" w14:textId="77777777" w:rsidR="00496A69" w:rsidRPr="00496A69" w:rsidRDefault="00496A69" w:rsidP="00496A69">
      <w:pPr>
        <w:jc w:val="both"/>
      </w:pPr>
      <w:r w:rsidRPr="00496A69">
        <w:t>Vai šim skaitlim jābūt tiešam vai tā arī var būt aptuvena apgrozījuma summa?</w:t>
      </w:r>
    </w:p>
    <w:p w14:paraId="04DA02A7" w14:textId="6BEA57AD" w:rsidR="00860D82" w:rsidRDefault="00DD374F" w:rsidP="00860D82">
      <w:pPr>
        <w:jc w:val="both"/>
      </w:pPr>
      <w:r w:rsidRPr="00DD374F">
        <w:rPr>
          <w:b/>
        </w:rPr>
        <w:t xml:space="preserve">Atbilde: </w:t>
      </w:r>
      <w:r w:rsidR="007A09F5" w:rsidRPr="007A09F5">
        <w:t>: Informācija atspoguļo faktisko situāciju un tā ir jānorāda par pēdējo noslēgto finanšu gadu. Ja 2015.gads nav noslēgts, tad var norādīt par 2014.gadu.</w:t>
      </w:r>
    </w:p>
    <w:p w14:paraId="1587AFEE" w14:textId="77777777" w:rsidR="00645B4E" w:rsidRDefault="00645B4E" w:rsidP="00860D82">
      <w:pPr>
        <w:jc w:val="both"/>
      </w:pPr>
    </w:p>
    <w:p w14:paraId="3AA46E00" w14:textId="77777777" w:rsidR="00860D82" w:rsidRDefault="00860D82" w:rsidP="00860D82">
      <w:pPr>
        <w:jc w:val="both"/>
      </w:pPr>
      <w:r w:rsidRPr="00EE3489">
        <w:rPr>
          <w:b/>
        </w:rPr>
        <w:t>2.Jautājums:</w:t>
      </w:r>
      <w:r>
        <w:t xml:space="preserve"> Lūgums sniegt skaidrojumu par vidējās darba algas aprēķinu uzņēmumā (Kvalitātes kritērijs Nr.2) Klasteru programmas ietvaros:</w:t>
      </w:r>
    </w:p>
    <w:p w14:paraId="511CCBB8" w14:textId="77777777" w:rsidR="00860D82" w:rsidRDefault="00860D82" w:rsidP="00860D82">
      <w:pPr>
        <w:jc w:val="both"/>
      </w:pPr>
      <w:r>
        <w:t>CFLA 20.06.2016 sniegtajās atbildēs par ir skaidrots, ka “Vērtēšanā tiek piemērots darba samaksu koriģējošs koeficients atbilstoši reģionam, kurā reģistrēts klastera dalībnieks, lai iegūtu ar reģiona vidējo darba samaksu samērojamu rādītāju. Koeficients tiek iegūts, izmantojot datus no  Centrālās statistikas pārvaldes datubāzes (http://www.csb.gov.lv/statistikas-temas/darba-samaksa-datubaze-30046.html) par rādītāju DSG05. STRĀDĀJOŠO MĒNEŠA VIDĒJĀ DARBA SAMAKSA LATVIJAS STATISTISKAJOS REĢIONOS (</w:t>
      </w:r>
      <w:proofErr w:type="spellStart"/>
      <w:r>
        <w:t>euro</w:t>
      </w:r>
      <w:proofErr w:type="spellEnd"/>
      <w:r>
        <w:t>). “ Norādītajā saitē CSP nav uzrādījis koeficientu, bet gan konkrētu vidējo darba algu reģionā.</w:t>
      </w:r>
    </w:p>
    <w:p w14:paraId="58C023E4" w14:textId="77777777" w:rsidR="00860D82" w:rsidRDefault="00860D82" w:rsidP="00860D82">
      <w:pPr>
        <w:jc w:val="both"/>
      </w:pPr>
      <w:r>
        <w:t xml:space="preserve">Kādā veidā būtu jāaprēķina CFLA Kritēriju vērtēšanas metodikā norādītais koeficients, ko piemērot reģionos </w:t>
      </w:r>
      <w:proofErr w:type="spellStart"/>
      <w:r>
        <w:t>reģistrētaiem</w:t>
      </w:r>
      <w:proofErr w:type="spellEnd"/>
      <w:r>
        <w:t xml:space="preserve"> uzņēmumiem?</w:t>
      </w:r>
    </w:p>
    <w:p w14:paraId="5E2DB7B2" w14:textId="56F06117" w:rsidR="00860D82" w:rsidRDefault="00860D82" w:rsidP="0063081D">
      <w:pPr>
        <w:spacing w:after="0"/>
        <w:jc w:val="both"/>
      </w:pPr>
      <w:r w:rsidRPr="00EE3489">
        <w:rPr>
          <w:b/>
        </w:rPr>
        <w:t>Atbilde:</w:t>
      </w:r>
      <w:r w:rsidRPr="00EE3489">
        <w:t xml:space="preserve"> Koeficien</w:t>
      </w:r>
      <w:r w:rsidR="00EE3489">
        <w:t>t</w:t>
      </w:r>
      <w:r w:rsidRPr="00EE3489">
        <w:t xml:space="preserve">u </w:t>
      </w:r>
      <w:r w:rsidR="00EE3489">
        <w:t>jāap</w:t>
      </w:r>
      <w:r w:rsidRPr="00EE3489">
        <w:t xml:space="preserve">rēķina </w:t>
      </w:r>
      <w:r w:rsidR="00EE3489">
        <w:t>sekojoši</w:t>
      </w:r>
      <w:r w:rsidR="005477F4">
        <w:t xml:space="preserve"> </w:t>
      </w:r>
      <w:r w:rsidRPr="00EE3489">
        <w:t>–</w:t>
      </w:r>
      <w:r w:rsidR="005477F4">
        <w:t xml:space="preserve"> </w:t>
      </w:r>
      <w:r w:rsidRPr="00EE3489">
        <w:t>vidējā alga LV</w:t>
      </w:r>
      <w:r w:rsidR="005477F4">
        <w:t>/</w:t>
      </w:r>
      <w:r w:rsidR="005477F4" w:rsidRPr="005477F4">
        <w:t xml:space="preserve"> </w:t>
      </w:r>
      <w:r w:rsidR="005477F4" w:rsidRPr="00EE3489">
        <w:t>vidējā alga reģionā</w:t>
      </w:r>
      <w:r w:rsidRPr="00EE3489">
        <w:t>.</w:t>
      </w:r>
    </w:p>
    <w:p w14:paraId="4709AEC7" w14:textId="0BA5F57C" w:rsidR="00E34DE3" w:rsidRPr="00EE3489" w:rsidRDefault="00E34DE3" w:rsidP="0063081D">
      <w:pPr>
        <w:spacing w:after="0"/>
        <w:jc w:val="both"/>
      </w:pPr>
      <w:r>
        <w:t>Piemēram:</w:t>
      </w:r>
    </w:p>
    <w:tbl>
      <w:tblPr>
        <w:tblW w:w="3880" w:type="dxa"/>
        <w:tblInd w:w="-3" w:type="dxa"/>
        <w:tblCellMar>
          <w:left w:w="0" w:type="dxa"/>
          <w:right w:w="0" w:type="dxa"/>
        </w:tblCellMar>
        <w:tblLook w:val="04A0" w:firstRow="1" w:lastRow="0" w:firstColumn="1" w:lastColumn="0" w:noHBand="0" w:noVBand="1"/>
      </w:tblPr>
      <w:tblGrid>
        <w:gridCol w:w="1780"/>
        <w:gridCol w:w="912"/>
        <w:gridCol w:w="1188"/>
      </w:tblGrid>
      <w:tr w:rsidR="0063081D" w:rsidRPr="0063081D" w14:paraId="22DA3906" w14:textId="77777777" w:rsidTr="001F13BF">
        <w:trPr>
          <w:trHeight w:val="600"/>
        </w:trPr>
        <w:tc>
          <w:tcPr>
            <w:tcW w:w="17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3704BF" w14:textId="77777777" w:rsidR="0063081D" w:rsidRPr="0063081D" w:rsidRDefault="0063081D" w:rsidP="0063081D">
            <w:pPr>
              <w:spacing w:after="0"/>
              <w:jc w:val="both"/>
            </w:pPr>
            <w:r w:rsidRPr="0063081D">
              <w:t> </w:t>
            </w:r>
          </w:p>
        </w:tc>
        <w:tc>
          <w:tcPr>
            <w:tcW w:w="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8BE110B" w14:textId="77777777" w:rsidR="0063081D" w:rsidRPr="0063081D" w:rsidRDefault="0063081D" w:rsidP="0063081D">
            <w:pPr>
              <w:spacing w:after="0"/>
              <w:jc w:val="both"/>
            </w:pPr>
            <w:proofErr w:type="spellStart"/>
            <w:r w:rsidRPr="0063081D">
              <w:t>vid.alga</w:t>
            </w:r>
            <w:proofErr w:type="spellEnd"/>
            <w:r w:rsidRPr="0063081D">
              <w:t xml:space="preserve"> 2015</w:t>
            </w:r>
          </w:p>
        </w:tc>
        <w:tc>
          <w:tcPr>
            <w:tcW w:w="118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EA09DFF" w14:textId="77777777" w:rsidR="0063081D" w:rsidRPr="0063081D" w:rsidRDefault="0063081D" w:rsidP="0063081D">
            <w:pPr>
              <w:spacing w:after="0"/>
              <w:jc w:val="both"/>
            </w:pPr>
            <w:r w:rsidRPr="0063081D">
              <w:t>koeficients</w:t>
            </w:r>
          </w:p>
        </w:tc>
      </w:tr>
      <w:tr w:rsidR="0063081D" w:rsidRPr="0063081D" w14:paraId="17655FB9" w14:textId="77777777" w:rsidTr="001F13BF">
        <w:trPr>
          <w:trHeight w:val="300"/>
        </w:trPr>
        <w:tc>
          <w:tcPr>
            <w:tcW w:w="1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A588C" w14:textId="77777777" w:rsidR="0063081D" w:rsidRPr="0063081D" w:rsidRDefault="0063081D" w:rsidP="0063081D">
            <w:pPr>
              <w:spacing w:after="0"/>
              <w:jc w:val="both"/>
              <w:rPr>
                <w:b/>
                <w:bCs/>
              </w:rPr>
            </w:pPr>
            <w:r w:rsidRPr="0063081D">
              <w:rPr>
                <w:b/>
                <w:bCs/>
              </w:rPr>
              <w:t>LATVIJA</w:t>
            </w:r>
          </w:p>
        </w:tc>
        <w:tc>
          <w:tcPr>
            <w:tcW w:w="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3C3A1" w14:textId="77777777" w:rsidR="0063081D" w:rsidRPr="0063081D" w:rsidRDefault="0063081D" w:rsidP="0063081D">
            <w:pPr>
              <w:spacing w:after="0"/>
              <w:jc w:val="both"/>
            </w:pPr>
            <w:r w:rsidRPr="0063081D">
              <w:t>818</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64F05A" w14:textId="77777777" w:rsidR="0063081D" w:rsidRPr="0063081D" w:rsidRDefault="0063081D" w:rsidP="0063081D">
            <w:pPr>
              <w:spacing w:after="0"/>
              <w:jc w:val="both"/>
            </w:pPr>
            <w:r w:rsidRPr="0063081D">
              <w:t>1</w:t>
            </w:r>
          </w:p>
        </w:tc>
      </w:tr>
      <w:tr w:rsidR="0063081D" w:rsidRPr="0063081D" w14:paraId="17847A69" w14:textId="77777777" w:rsidTr="001F13BF">
        <w:trPr>
          <w:trHeight w:val="600"/>
        </w:trPr>
        <w:tc>
          <w:tcPr>
            <w:tcW w:w="1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160A6F" w14:textId="77777777" w:rsidR="0063081D" w:rsidRPr="0063081D" w:rsidRDefault="0063081D" w:rsidP="0063081D">
            <w:pPr>
              <w:spacing w:after="0"/>
              <w:jc w:val="both"/>
              <w:rPr>
                <w:b/>
                <w:bCs/>
              </w:rPr>
            </w:pPr>
            <w:r w:rsidRPr="0063081D">
              <w:rPr>
                <w:b/>
                <w:bCs/>
              </w:rPr>
              <w:t>Rīgas plānošanas reģions</w:t>
            </w:r>
          </w:p>
        </w:tc>
        <w:tc>
          <w:tcPr>
            <w:tcW w:w="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B1014" w14:textId="77777777" w:rsidR="0063081D" w:rsidRPr="0063081D" w:rsidRDefault="0063081D" w:rsidP="0063081D">
            <w:pPr>
              <w:spacing w:after="0"/>
              <w:jc w:val="both"/>
            </w:pPr>
            <w:r w:rsidRPr="0063081D">
              <w:t>892</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C49B3E" w14:textId="30D2C482" w:rsidR="00693F79" w:rsidRPr="0063081D" w:rsidRDefault="00693F79" w:rsidP="0063081D">
            <w:pPr>
              <w:spacing w:after="0"/>
              <w:jc w:val="both"/>
            </w:pPr>
            <w:r>
              <w:t>0.92</w:t>
            </w:r>
          </w:p>
        </w:tc>
      </w:tr>
      <w:tr w:rsidR="0063081D" w:rsidRPr="0063081D" w14:paraId="5F0FFD75" w14:textId="77777777" w:rsidTr="001F13BF">
        <w:trPr>
          <w:trHeight w:val="300"/>
        </w:trPr>
        <w:tc>
          <w:tcPr>
            <w:tcW w:w="1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58BC4D" w14:textId="082C9167" w:rsidR="0063081D" w:rsidRPr="0063081D" w:rsidRDefault="0063081D" w:rsidP="0063081D">
            <w:pPr>
              <w:spacing w:after="0"/>
              <w:jc w:val="both"/>
              <w:rPr>
                <w:b/>
                <w:bCs/>
              </w:rPr>
            </w:pPr>
            <w:r w:rsidRPr="0063081D">
              <w:rPr>
                <w:b/>
                <w:bCs/>
              </w:rPr>
              <w:t>Vidzemes reģions</w:t>
            </w:r>
          </w:p>
        </w:tc>
        <w:tc>
          <w:tcPr>
            <w:tcW w:w="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3CAB9D" w14:textId="77777777" w:rsidR="0063081D" w:rsidRPr="0063081D" w:rsidRDefault="0063081D" w:rsidP="0063081D">
            <w:pPr>
              <w:spacing w:after="0"/>
              <w:jc w:val="both"/>
            </w:pPr>
            <w:r w:rsidRPr="0063081D">
              <w:t>643</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909779" w14:textId="69E1F94B" w:rsidR="0063081D" w:rsidRPr="0063081D" w:rsidRDefault="00693F79" w:rsidP="0063081D">
            <w:pPr>
              <w:spacing w:after="0"/>
              <w:jc w:val="both"/>
            </w:pPr>
            <w:r>
              <w:t>1.27</w:t>
            </w:r>
          </w:p>
        </w:tc>
      </w:tr>
      <w:tr w:rsidR="0063081D" w:rsidRPr="0063081D" w14:paraId="5AAD29D9" w14:textId="77777777" w:rsidTr="001F13BF">
        <w:trPr>
          <w:trHeight w:val="300"/>
        </w:trPr>
        <w:tc>
          <w:tcPr>
            <w:tcW w:w="1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7B5F21" w14:textId="77777777" w:rsidR="0063081D" w:rsidRPr="0063081D" w:rsidRDefault="0063081D" w:rsidP="0063081D">
            <w:pPr>
              <w:spacing w:after="0"/>
              <w:jc w:val="both"/>
              <w:rPr>
                <w:b/>
                <w:bCs/>
              </w:rPr>
            </w:pPr>
            <w:r w:rsidRPr="0063081D">
              <w:rPr>
                <w:b/>
                <w:bCs/>
              </w:rPr>
              <w:t>Kurzemes reģions</w:t>
            </w:r>
          </w:p>
        </w:tc>
        <w:tc>
          <w:tcPr>
            <w:tcW w:w="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D1E80" w14:textId="77777777" w:rsidR="0063081D" w:rsidRPr="0063081D" w:rsidRDefault="0063081D" w:rsidP="0063081D">
            <w:pPr>
              <w:spacing w:after="0"/>
              <w:jc w:val="both"/>
            </w:pPr>
            <w:r w:rsidRPr="0063081D">
              <w:t>693</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87E01A" w14:textId="45B54B91" w:rsidR="0063081D" w:rsidRPr="0063081D" w:rsidRDefault="00693F79" w:rsidP="0063081D">
            <w:pPr>
              <w:spacing w:after="0"/>
              <w:jc w:val="both"/>
            </w:pPr>
            <w:r>
              <w:t>1.18</w:t>
            </w:r>
          </w:p>
        </w:tc>
      </w:tr>
      <w:tr w:rsidR="0063081D" w:rsidRPr="0063081D" w14:paraId="5B77D753" w14:textId="77777777" w:rsidTr="001F13BF">
        <w:trPr>
          <w:trHeight w:val="300"/>
        </w:trPr>
        <w:tc>
          <w:tcPr>
            <w:tcW w:w="1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2B52F5" w14:textId="77777777" w:rsidR="0063081D" w:rsidRPr="0063081D" w:rsidRDefault="0063081D" w:rsidP="0063081D">
            <w:pPr>
              <w:spacing w:after="0"/>
              <w:jc w:val="both"/>
              <w:rPr>
                <w:b/>
                <w:bCs/>
              </w:rPr>
            </w:pPr>
            <w:r w:rsidRPr="0063081D">
              <w:rPr>
                <w:b/>
                <w:bCs/>
              </w:rPr>
              <w:t>Zemgales reģions</w:t>
            </w:r>
          </w:p>
        </w:tc>
        <w:tc>
          <w:tcPr>
            <w:tcW w:w="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1A54C6" w14:textId="77777777" w:rsidR="0063081D" w:rsidRPr="0063081D" w:rsidRDefault="0063081D" w:rsidP="0063081D">
            <w:pPr>
              <w:spacing w:after="0"/>
              <w:jc w:val="both"/>
            </w:pPr>
            <w:r w:rsidRPr="0063081D">
              <w:t>683</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330C9D" w14:textId="22FA4E22" w:rsidR="0063081D" w:rsidRPr="0063081D" w:rsidRDefault="00693F79" w:rsidP="0063081D">
            <w:pPr>
              <w:spacing w:after="0"/>
              <w:jc w:val="both"/>
            </w:pPr>
            <w:r>
              <w:t>1.20</w:t>
            </w:r>
          </w:p>
        </w:tc>
      </w:tr>
      <w:tr w:rsidR="0063081D" w:rsidRPr="0063081D" w14:paraId="29DC9AD4" w14:textId="77777777" w:rsidTr="001F13BF">
        <w:trPr>
          <w:trHeight w:val="300"/>
        </w:trPr>
        <w:tc>
          <w:tcPr>
            <w:tcW w:w="1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8C6166" w14:textId="77777777" w:rsidR="0063081D" w:rsidRPr="0063081D" w:rsidRDefault="0063081D" w:rsidP="0063081D">
            <w:pPr>
              <w:spacing w:after="0"/>
              <w:jc w:val="both"/>
              <w:rPr>
                <w:b/>
                <w:bCs/>
              </w:rPr>
            </w:pPr>
            <w:r w:rsidRPr="0063081D">
              <w:rPr>
                <w:b/>
                <w:bCs/>
              </w:rPr>
              <w:t>Latgales reģions</w:t>
            </w:r>
          </w:p>
        </w:tc>
        <w:tc>
          <w:tcPr>
            <w:tcW w:w="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13C27" w14:textId="77777777" w:rsidR="0063081D" w:rsidRPr="0063081D" w:rsidRDefault="0063081D" w:rsidP="0063081D">
            <w:pPr>
              <w:spacing w:after="0"/>
              <w:jc w:val="both"/>
            </w:pPr>
            <w:r w:rsidRPr="0063081D">
              <w:t xml:space="preserve">564 </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ED838D" w14:textId="0C7D4A2D" w:rsidR="0063081D" w:rsidRPr="0063081D" w:rsidRDefault="00693F79" w:rsidP="0063081D">
            <w:pPr>
              <w:spacing w:after="0"/>
              <w:jc w:val="both"/>
            </w:pPr>
            <w:r>
              <w:t>1.45</w:t>
            </w:r>
          </w:p>
        </w:tc>
      </w:tr>
    </w:tbl>
    <w:p w14:paraId="1AED07A6" w14:textId="72CB0529" w:rsidR="00860D82" w:rsidRDefault="001F13BF" w:rsidP="00860D82">
      <w:pPr>
        <w:jc w:val="both"/>
      </w:pPr>
      <w:r w:rsidRPr="001F13BF">
        <w:lastRenderedPageBreak/>
        <w:drawing>
          <wp:inline distT="0" distB="0" distL="0" distR="0" wp14:anchorId="7B17042F" wp14:editId="055396C0">
            <wp:extent cx="4572000"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628900"/>
                    </a:xfrm>
                    <a:prstGeom prst="rect">
                      <a:avLst/>
                    </a:prstGeom>
                    <a:noFill/>
                    <a:ln>
                      <a:noFill/>
                    </a:ln>
                  </pic:spPr>
                </pic:pic>
              </a:graphicData>
            </a:graphic>
          </wp:inline>
        </w:drawing>
      </w:r>
      <w:bookmarkStart w:id="0" w:name="_GoBack"/>
      <w:bookmarkEnd w:id="0"/>
    </w:p>
    <w:p w14:paraId="1024349C" w14:textId="0B39BDA0" w:rsidR="0063081D" w:rsidRDefault="0063081D" w:rsidP="00860D82">
      <w:pPr>
        <w:jc w:val="both"/>
      </w:pPr>
    </w:p>
    <w:p w14:paraId="38585905" w14:textId="77777777" w:rsidR="0047313A" w:rsidRDefault="0047313A" w:rsidP="00860D82">
      <w:pPr>
        <w:jc w:val="both"/>
        <w:rPr>
          <w:b/>
        </w:rPr>
      </w:pPr>
    </w:p>
    <w:p w14:paraId="124B38EF" w14:textId="77777777" w:rsidR="00860D82" w:rsidRDefault="00860D82" w:rsidP="00860D82">
      <w:pPr>
        <w:jc w:val="both"/>
      </w:pPr>
      <w:r w:rsidRPr="00EE3489">
        <w:rPr>
          <w:b/>
        </w:rPr>
        <w:t>3.Jautājums:</w:t>
      </w:r>
      <w:r>
        <w:t xml:space="preserve"> 20.06.2016 sniegtajās atbildē ir norādīti vairāki dokumenti, pēc kuriem iespējams aprēķināt izmaksāto darba algu uzņēmumā. Ņemot vērā, ka daži no tiem nav publiski pieejami (piemēram, grāmatvedības kontu izdrukas), kuri no minētajiem dokumentiem tiks izmantoti vērtējot projektu iesniegumu?</w:t>
      </w:r>
    </w:p>
    <w:p w14:paraId="6AD3E331" w14:textId="20E57BEF" w:rsidR="00860D82" w:rsidRDefault="00860D82" w:rsidP="00860D82">
      <w:pPr>
        <w:jc w:val="both"/>
      </w:pPr>
      <w:r w:rsidRPr="00EE3489">
        <w:rPr>
          <w:b/>
        </w:rPr>
        <w:t>Atbilde:</w:t>
      </w:r>
      <w:r w:rsidRPr="00EE3489">
        <w:t xml:space="preserve"> </w:t>
      </w:r>
      <w:r w:rsidR="0091577D">
        <w:t>Projekta iesnieguma dati tiks vērtēti</w:t>
      </w:r>
      <w:r w:rsidRPr="00EE3489">
        <w:t xml:space="preserve"> pēc iesniegtajiem grāmatvedības finanšu dokumentiem un VID datu bāzes.</w:t>
      </w:r>
    </w:p>
    <w:p w14:paraId="5DBFBBBF" w14:textId="77777777" w:rsidR="00EE3489" w:rsidRPr="00EE3489" w:rsidRDefault="00EE3489" w:rsidP="00860D82">
      <w:pPr>
        <w:jc w:val="both"/>
      </w:pPr>
    </w:p>
    <w:p w14:paraId="1F926C6D" w14:textId="77777777" w:rsidR="009A7D48" w:rsidRDefault="00860D82" w:rsidP="00C00FEC">
      <w:pPr>
        <w:jc w:val="both"/>
      </w:pPr>
      <w:r w:rsidRPr="00EE3489">
        <w:rPr>
          <w:b/>
        </w:rPr>
        <w:t>4.Jautājums</w:t>
      </w:r>
      <w:r w:rsidRPr="00EE3489">
        <w:t>:</w:t>
      </w:r>
      <w:r>
        <w:t xml:space="preserve"> </w:t>
      </w:r>
      <w:r w:rsidRPr="00860D82">
        <w:t xml:space="preserve">Vēlējos precizēt sekojošu jautājumu par "Klasteru programmu". Konkursa nolikumā ir minēts, ka klastera dalībniekiem ir jāsasniedz noteikts eksporta apjoms. Jautājums: kas ir saprotams ar vārdu "eksports". Ja klastera dalībnieks ir </w:t>
      </w:r>
      <w:proofErr w:type="spellStart"/>
      <w:r w:rsidRPr="00860D82">
        <w:t>stividorkompānija</w:t>
      </w:r>
      <w:proofErr w:type="spellEnd"/>
      <w:r w:rsidRPr="00860D82">
        <w:t xml:space="preserve"> ostā, kura pārkrauj tranzīta kravas, vai šis pakalpojums tiek uzskatīts par pakalpojumu "eksportu"? Šis pakalpojums netiek aplikts ar PVN un PVN deklarācijā tiek atspoguļots 48.rindā "ar PVN 0% likmi apliekamie darījumi par sniegtajiem pakalpojumiem".</w:t>
      </w:r>
    </w:p>
    <w:p w14:paraId="269E38E5" w14:textId="77777777" w:rsidR="007A09F5" w:rsidRDefault="00860D82" w:rsidP="00C20425">
      <w:pPr>
        <w:jc w:val="both"/>
      </w:pPr>
      <w:r w:rsidRPr="007A09F5">
        <w:rPr>
          <w:b/>
        </w:rPr>
        <w:t>Atbilde:</w:t>
      </w:r>
      <w:r w:rsidRPr="00EE3489">
        <w:t xml:space="preserve">  </w:t>
      </w:r>
      <w:r w:rsidR="00800294" w:rsidRPr="00F90302">
        <w:t>Norādīto eksporta, apgroz</w:t>
      </w:r>
      <w:r w:rsidR="00800294" w:rsidRPr="006F35FD">
        <w:t xml:space="preserve">ījuma un pamatdarbības nozares </w:t>
      </w:r>
      <w:r w:rsidR="00800294" w:rsidRPr="00245F9D">
        <w:t xml:space="preserve">informāciju </w:t>
      </w:r>
      <w:r w:rsidR="00800294" w:rsidRPr="007A09F5">
        <w:t>salīdzina ar datu bāzē, kur pieejami dati no uzņēmumu gada pārskatiem, pieejamo informāciju un Valsts Ieņēmumu dienesta (turpmāk – VID) rīcībā esošo informāciju par klastera dalībnieku eksporta apjomu (no PVN deklarācijām). N</w:t>
      </w:r>
      <w:r w:rsidR="00002276" w:rsidRPr="007A09F5">
        <w:t xml:space="preserve">o tā izriet, ka šis </w:t>
      </w:r>
      <w:r w:rsidR="00002276" w:rsidRPr="00800294">
        <w:t>pakalpojums tiek uzska</w:t>
      </w:r>
      <w:r w:rsidR="00F90302" w:rsidRPr="00F90302">
        <w:t xml:space="preserve">tīts par pakalpojumu </w:t>
      </w:r>
      <w:r w:rsidR="00002276" w:rsidRPr="00F90302">
        <w:t>eksportu</w:t>
      </w:r>
      <w:r w:rsidR="00002276" w:rsidRPr="00245F9D">
        <w:t>.</w:t>
      </w:r>
      <w:r w:rsidR="00F90302">
        <w:t xml:space="preserve"> </w:t>
      </w:r>
    </w:p>
    <w:p w14:paraId="632D9235" w14:textId="77777777" w:rsidR="007A09F5" w:rsidRDefault="007A09F5" w:rsidP="00C20425">
      <w:pPr>
        <w:jc w:val="both"/>
      </w:pPr>
    </w:p>
    <w:p w14:paraId="3B685E4A" w14:textId="1EF975EC" w:rsidR="00C20425" w:rsidRPr="00C20425" w:rsidRDefault="00C20425" w:rsidP="00C20425">
      <w:pPr>
        <w:jc w:val="both"/>
      </w:pPr>
      <w:r w:rsidRPr="00C20425">
        <w:rPr>
          <w:b/>
        </w:rPr>
        <w:t xml:space="preserve">5.jautājums:  </w:t>
      </w:r>
      <w:r w:rsidRPr="00C20425">
        <w:t xml:space="preserve">Vēlamies saņemt komentāru no Jums par uzņēmuma statusa noteikšanu Klastera programmas ietvaros. Proti, noteikumos norādīts, ka komersanta atbilstību MVU statusam nosaka pēc Komisijas regulas Nr.651/2014 1.pielikumā (turpmāk – Regula) minētajiem nosacījumiem. </w:t>
      </w:r>
    </w:p>
    <w:p w14:paraId="2DF62017" w14:textId="77777777" w:rsidR="00C20425" w:rsidRPr="00C20425" w:rsidRDefault="00C20425" w:rsidP="00C20425">
      <w:pPr>
        <w:jc w:val="both"/>
      </w:pPr>
      <w:r w:rsidRPr="00C20425">
        <w:t xml:space="preserve">Regulas 4.panta 2.punktā norādīts, ka, ja ņemot par pamatu gadu, pārskatu slēgšanas dienā atklājas, ka 2.pantā norādītā darbinieku skaita vai finanšu robežvērtība ir pārsniegta vai nav sasniegta, tas nenozīmē, ka uzņēmums zaudēs vai iegūs vidējā, mazā uzņēmuma vai </w:t>
      </w:r>
      <w:proofErr w:type="spellStart"/>
      <w:r w:rsidRPr="00C20425">
        <w:lastRenderedPageBreak/>
        <w:t>mikrouzņēmuma</w:t>
      </w:r>
      <w:proofErr w:type="spellEnd"/>
      <w:r w:rsidRPr="00C20425">
        <w:t xml:space="preserve"> statusu, ja vien šīs robežvērtības nav pārsniegtas divos pārskata periodos pēc kārtas.</w:t>
      </w:r>
    </w:p>
    <w:p w14:paraId="5639D8B6" w14:textId="77777777" w:rsidR="004C0030" w:rsidRPr="00C20425" w:rsidRDefault="00C20425" w:rsidP="00C20425">
      <w:pPr>
        <w:jc w:val="both"/>
      </w:pPr>
      <w:r w:rsidRPr="00C20425">
        <w:t>Līdz ar to lūdzam sniegt komentāru par statusa noteikšanu uzņēmumiem atbilstoši Regulas 4.panta 2.punktā noteiktajam, uzņēmumiem, par kuriem ir informācija, ka 2015. un 2016.gadā ir bijušas pārmaiņas dalībnieku sarakstā un uzņēmuma struktūrā. Vai uz šiem uzņēmumiem var attiecināt Regulas 4.pantā 2.punktā noteikto</w:t>
      </w:r>
      <w:r w:rsidR="00EE3489">
        <w:t xml:space="preserve">. </w:t>
      </w:r>
    </w:p>
    <w:p w14:paraId="043BAD77" w14:textId="77777777" w:rsidR="00C20425" w:rsidRDefault="00C20425" w:rsidP="00C20425">
      <w:pPr>
        <w:jc w:val="both"/>
      </w:pPr>
      <w:r w:rsidRPr="00C20425">
        <w:rPr>
          <w:b/>
        </w:rPr>
        <w:t>Atbilde:</w:t>
      </w:r>
      <w:r>
        <w:t xml:space="preserve"> Eiropas Komisijas regulas Nr.651/2014 (turpmāk – Regula) nosacījumi par MVU statusa noteikšanu tiek skaidroti Eiropas Komisijas Lietotāja rokasgrāmatā par MVU definīcijas piemērošanu” (turpmāk – Rokasgrāmata), kas pieejama arī latviešu valodā http://www.liaa.gov.lv/files/liaa/attachments/rokasgramata_par_mvu_piemerosanu.pdf).</w:t>
      </w:r>
    </w:p>
    <w:p w14:paraId="007A5E90" w14:textId="77777777" w:rsidR="00860D82" w:rsidRDefault="00C20425" w:rsidP="00C20425">
      <w:pPr>
        <w:jc w:val="both"/>
      </w:pPr>
      <w:r>
        <w:t>Rokasgrāmatā tiek skaidrots, ka Regulas 4. panta 2. punkts nodrošina stabilitāti un noteiktību uzņēmumiem, kuru rādītāji ir tuvu attiecīgajai robežvērtībai un kuriem pastāv risks īslaicīgi to pārsniegt atsevišķā gadā un/vai mainīgos tirgos, mērķis ir nodrošināt, lai uzņēmumi, kas piedzīvo izaugsmi, netiek sodīti ar MVU statusa zaudēšanu, ja vien tie attiecīgās robežvērtības nepārsniedz ilgstoši. Ņemot vērā šo nolūku, 4. panta 2. punkts netiek piemērots gadījumos, kad uzņēmumi pārsniedz attiecīgās MVU robežvērtības īpašumtiesību maiņas dēļ, pēc apvienošanās vai iegādes, kas parasti nav uzskatāma par īslaicīgu un nepastāvīgu situāciju. Uzņēmumi, kuriem mainījušās īpašumtiesības, jānovērtē, pamatojoties uz to akcionāru struktūru darījuma, nevis pēdējo gadu pārskatu noslēgšanas brīdī (Komisijas Lēmuma 2012/838/ES (2012. gada 18. decembris) 1.1.3.1. sadaļas 6. punkta e) apakšpunkts). Tāpēc MVU statusa zaudēšana var būt tūlītēja.</w:t>
      </w:r>
    </w:p>
    <w:p w14:paraId="718A73DB" w14:textId="77777777" w:rsidR="00C20425" w:rsidRDefault="00C20425" w:rsidP="00C20425">
      <w:pPr>
        <w:jc w:val="both"/>
      </w:pPr>
    </w:p>
    <w:p w14:paraId="678B8594" w14:textId="77777777" w:rsidR="00C20425" w:rsidRDefault="00C20425" w:rsidP="00C20425">
      <w:r w:rsidRPr="00EE3489">
        <w:rPr>
          <w:b/>
        </w:rPr>
        <w:t>6.Jautājums:</w:t>
      </w:r>
      <w:r>
        <w:t xml:space="preserve"> V</w:t>
      </w:r>
      <w:r w:rsidRPr="00C20425">
        <w:t>ai šāds pasākums "Klastera programmas" ietvaros var tikt attiecināms (Transporta/loģistikas nozarē).</w:t>
      </w:r>
    </w:p>
    <w:p w14:paraId="6E906F3B" w14:textId="77777777" w:rsidR="00C20425" w:rsidRPr="00C20425" w:rsidRDefault="00C20425" w:rsidP="00C20425">
      <w:r w:rsidRPr="00C20425">
        <w:t xml:space="preserve">Vai pasākuma "Pasākumi, kas sekmē sadarbību ar pētniecības un zināšanu izplatīšanas organizācijām, tai skaitā klastera dalībnieku pētniecības, infrastruktūras un apmācību vajadzību identificēšana" ietvaros var veikt šādu pētījumu: asociācija (Klasteris)  apzina visu biedru problēmas tiesiskajā plaknē sadarbībā ar muitu vai VID (visiem zināmā Muitas pārvaldes nostājas maiņa galvojumu piešķiršanā (2015.gada nogalē par pārkāpumu sāka traktēt tādas lietas, ko iepriekš neuzskatīja par pārkāpumu, līdz ar to spēlēs laikā tikai mainīti nosacījumi (normatīvais regulējums jau nemainījās, bet mainījās tikai muitas amatpersonu izpratne par šo normu interpretāciju), noslēgtu tranzīta procedūru pēkšņa atzīšana par nenoslēgtām un tam sekojoša muitas parāda piedziņa, u.c. tamlīdzīgas lietas). Attiecīgi tiktu piesaistīts RTU SESMI kā pētniecības organizācija un advokātu birojs - speciālists nodokļu un muitas jautājumos, kuri detalizēti izanalizē un juridiski pamatoto šīs problēmas un pauž kopējo redzējumu (secinājumus) </w:t>
      </w:r>
      <w:proofErr w:type="spellStart"/>
      <w:r w:rsidRPr="00C20425">
        <w:t>VIDam</w:t>
      </w:r>
      <w:proofErr w:type="spellEnd"/>
      <w:r w:rsidRPr="00C20425">
        <w:t xml:space="preserve">, lai tas mainītu vai nu normu interpretāciju, vai vajadzības gadījumā iniciētu tiesību normu grozījumus, kas gala rezultātā atvieglotu visu biedru ikdienas darbu. Attiecīgi tiesiskās vides sakārtošana  (precīzi paredzamu spēles noteikumu izstrāde) arī sekmēs LLA biedru konkurētspējas palielināšanos (kas ir viens no projekta mērķiem). </w:t>
      </w:r>
    </w:p>
    <w:p w14:paraId="36081CED" w14:textId="77777777" w:rsidR="00C20425" w:rsidRPr="00EE3489" w:rsidRDefault="00C20425" w:rsidP="00C20425">
      <w:pPr>
        <w:jc w:val="both"/>
      </w:pPr>
      <w:r w:rsidRPr="007A09F5">
        <w:rPr>
          <w:b/>
        </w:rPr>
        <w:t xml:space="preserve">Atbilde: </w:t>
      </w:r>
      <w:r w:rsidR="00EE3489" w:rsidRPr="007A09F5">
        <w:t xml:space="preserve">Jā, šāds pasākums </w:t>
      </w:r>
      <w:r w:rsidR="00EE3489" w:rsidRPr="007A09F5">
        <w:rPr>
          <w:u w:val="single"/>
        </w:rPr>
        <w:t>var</w:t>
      </w:r>
      <w:r w:rsidR="00EE3489" w:rsidRPr="007A09F5">
        <w:t xml:space="preserve"> tikt attiecināms.</w:t>
      </w:r>
    </w:p>
    <w:sectPr w:rsidR="00C20425" w:rsidRPr="00EE34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D3FB0"/>
    <w:multiLevelType w:val="hybridMultilevel"/>
    <w:tmpl w:val="04CA0E2E"/>
    <w:lvl w:ilvl="0" w:tplc="EF5641F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4C1517D"/>
    <w:multiLevelType w:val="hybridMultilevel"/>
    <w:tmpl w:val="1D6C07E8"/>
    <w:lvl w:ilvl="0" w:tplc="A36A904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EC"/>
    <w:rsid w:val="00002276"/>
    <w:rsid w:val="000057EC"/>
    <w:rsid w:val="0003699E"/>
    <w:rsid w:val="000B4234"/>
    <w:rsid w:val="001F13BF"/>
    <w:rsid w:val="00245F9D"/>
    <w:rsid w:val="00430E5B"/>
    <w:rsid w:val="0047313A"/>
    <w:rsid w:val="00496A69"/>
    <w:rsid w:val="004C0030"/>
    <w:rsid w:val="004D1EC3"/>
    <w:rsid w:val="005477F4"/>
    <w:rsid w:val="005F3A05"/>
    <w:rsid w:val="00620149"/>
    <w:rsid w:val="00623D04"/>
    <w:rsid w:val="0063081D"/>
    <w:rsid w:val="00645B4E"/>
    <w:rsid w:val="00693F79"/>
    <w:rsid w:val="006F213A"/>
    <w:rsid w:val="006F35FD"/>
    <w:rsid w:val="007A09F5"/>
    <w:rsid w:val="00800294"/>
    <w:rsid w:val="00860D82"/>
    <w:rsid w:val="008768B1"/>
    <w:rsid w:val="0091577D"/>
    <w:rsid w:val="009A7D48"/>
    <w:rsid w:val="00A877F7"/>
    <w:rsid w:val="00C00FEC"/>
    <w:rsid w:val="00C20425"/>
    <w:rsid w:val="00CA39F7"/>
    <w:rsid w:val="00CD3C1A"/>
    <w:rsid w:val="00DD374F"/>
    <w:rsid w:val="00E34DE3"/>
    <w:rsid w:val="00E631F5"/>
    <w:rsid w:val="00EE3489"/>
    <w:rsid w:val="00F90302"/>
    <w:rsid w:val="00F922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867C"/>
  <w15:chartTrackingRefBased/>
  <w15:docId w15:val="{22B4DC95-3ADF-4379-B670-CC8587F9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D48"/>
    <w:rPr>
      <w:sz w:val="16"/>
      <w:szCs w:val="16"/>
    </w:rPr>
  </w:style>
  <w:style w:type="paragraph" w:styleId="CommentText">
    <w:name w:val="annotation text"/>
    <w:basedOn w:val="Normal"/>
    <w:link w:val="CommentTextChar"/>
    <w:uiPriority w:val="99"/>
    <w:semiHidden/>
    <w:unhideWhenUsed/>
    <w:rsid w:val="009A7D48"/>
    <w:pPr>
      <w:spacing w:after="0" w:line="240" w:lineRule="auto"/>
    </w:pPr>
    <w:rPr>
      <w:rFonts w:ascii="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A7D48"/>
    <w:rPr>
      <w:rFonts w:ascii="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9A7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48"/>
    <w:rPr>
      <w:rFonts w:ascii="Segoe UI" w:hAnsi="Segoe UI" w:cs="Segoe UI"/>
      <w:sz w:val="18"/>
      <w:szCs w:val="18"/>
    </w:rPr>
  </w:style>
  <w:style w:type="character" w:styleId="Hyperlink">
    <w:name w:val="Hyperlink"/>
    <w:basedOn w:val="DefaultParagraphFont"/>
    <w:uiPriority w:val="99"/>
    <w:unhideWhenUsed/>
    <w:rsid w:val="009A7D4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30E5B"/>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30E5B"/>
    <w:rPr>
      <w:rFonts w:ascii="Times New Roman" w:hAnsi="Times New Roman" w:cs="Times New Roman"/>
      <w:b/>
      <w:bCs/>
      <w:sz w:val="20"/>
      <w:szCs w:val="20"/>
      <w:lang w:eastAsia="lv-LV"/>
    </w:rPr>
  </w:style>
  <w:style w:type="paragraph" w:styleId="Revision">
    <w:name w:val="Revision"/>
    <w:hidden/>
    <w:uiPriority w:val="99"/>
    <w:semiHidden/>
    <w:rsid w:val="007A0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5497">
      <w:bodyDiv w:val="1"/>
      <w:marLeft w:val="0"/>
      <w:marRight w:val="0"/>
      <w:marTop w:val="0"/>
      <w:marBottom w:val="0"/>
      <w:divBdr>
        <w:top w:val="none" w:sz="0" w:space="0" w:color="auto"/>
        <w:left w:val="none" w:sz="0" w:space="0" w:color="auto"/>
        <w:bottom w:val="none" w:sz="0" w:space="0" w:color="auto"/>
        <w:right w:val="none" w:sz="0" w:space="0" w:color="auto"/>
      </w:divBdr>
    </w:div>
    <w:div w:id="4640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6CE39D64</Template>
  <TotalTime>14</TotalTime>
  <Pages>3</Pages>
  <Words>4261</Words>
  <Characters>2429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Zeme</dc:creator>
  <cp:keywords/>
  <dc:description/>
  <cp:lastModifiedBy>Aiga Zeme</cp:lastModifiedBy>
  <cp:revision>8</cp:revision>
  <dcterms:created xsi:type="dcterms:W3CDTF">2016-07-04T06:46:00Z</dcterms:created>
  <dcterms:modified xsi:type="dcterms:W3CDTF">2016-07-04T11:01:00Z</dcterms:modified>
</cp:coreProperties>
</file>