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40CFA" w14:textId="177F8112" w:rsidR="00A877F7" w:rsidRDefault="00A877F7" w:rsidP="00C00FEC">
      <w:pPr>
        <w:jc w:val="both"/>
        <w:rPr>
          <w:b/>
        </w:rPr>
      </w:pPr>
      <w:r>
        <w:rPr>
          <w:b/>
        </w:rPr>
        <w:t>20.06.2016.</w:t>
      </w:r>
    </w:p>
    <w:p w14:paraId="0E52BF3F" w14:textId="77777777" w:rsidR="00A877F7" w:rsidRDefault="00A877F7" w:rsidP="00C00FEC">
      <w:pPr>
        <w:jc w:val="both"/>
        <w:rPr>
          <w:b/>
        </w:rPr>
      </w:pPr>
    </w:p>
    <w:p w14:paraId="51BEFE0D" w14:textId="64D924C2" w:rsidR="009A7D48" w:rsidRPr="009A7D48" w:rsidRDefault="00A877F7" w:rsidP="00C00FEC">
      <w:pPr>
        <w:jc w:val="both"/>
      </w:pPr>
      <w:r>
        <w:rPr>
          <w:b/>
        </w:rPr>
        <w:t>1</w:t>
      </w:r>
      <w:r w:rsidR="009A7D48" w:rsidRPr="009A7D48">
        <w:rPr>
          <w:b/>
        </w:rPr>
        <w:t xml:space="preserve">.Jautājums: </w:t>
      </w:r>
      <w:r w:rsidR="009A7D48" w:rsidRPr="009A7D48">
        <w:t>Kā rīkoties uzņēmumam, kurš ražo gan alkoholiskos, gan bezalkoholiskos dzērienus, ņemot vērā, ka alkohola ražošana ir neatbalstāmā nozare?</w:t>
      </w:r>
    </w:p>
    <w:p w14:paraId="589DDC30" w14:textId="77777777" w:rsidR="00A877F7" w:rsidRPr="00A877F7" w:rsidRDefault="00DD374F" w:rsidP="00C00FEC">
      <w:pPr>
        <w:jc w:val="both"/>
      </w:pPr>
      <w:r w:rsidRPr="00DD374F">
        <w:rPr>
          <w:b/>
        </w:rPr>
        <w:t xml:space="preserve">Atbilde: </w:t>
      </w:r>
      <w:r w:rsidR="00A877F7" w:rsidRPr="00A877F7">
        <w:t>Ja uzņēmums darbojas gan neatbalstāmās, gan atbalstāmās nozarēs, tad tam projekta iesniegumā vai pievienotajos dokumentos jāapliecina, ka tiks skaidri nodalītas atbalstāmās darbības un finanšu plūsmas, nodrošinot, ka darbības izslēgtajās nozarēs negūs labumu no piešķirtā atbalsta pasākuma ietvaros. Uzņēmumam projekta iesniegumā tiek aprakstīts, kā tiks nodalītas finanšu plūsmas un kā tiks nodrošināta nosacījumu ievērošana. CFLA pārbaudīs pēc iesniegtajiem pārskatiem, kā arī projekta īstenošanas vietā (t.sk. grāmatvedības sistēmā).</w:t>
      </w:r>
      <w:r w:rsidR="00A877F7" w:rsidRPr="00A877F7" w:rsidDel="00657974">
        <w:t xml:space="preserve"> </w:t>
      </w:r>
    </w:p>
    <w:p w14:paraId="3DA6B943" w14:textId="4D588973" w:rsidR="009A7D48" w:rsidRDefault="009A7D48" w:rsidP="00C00FEC">
      <w:pPr>
        <w:jc w:val="both"/>
      </w:pPr>
    </w:p>
    <w:p w14:paraId="401E1AD4" w14:textId="102DBF15" w:rsidR="009A7D48" w:rsidRPr="009A7D48" w:rsidRDefault="00A877F7" w:rsidP="00C00FEC">
      <w:pPr>
        <w:jc w:val="both"/>
      </w:pPr>
      <w:r>
        <w:rPr>
          <w:b/>
        </w:rPr>
        <w:t>2</w:t>
      </w:r>
      <w:r w:rsidR="009A7D48" w:rsidRPr="009A7D48">
        <w:rPr>
          <w:b/>
        </w:rPr>
        <w:t xml:space="preserve">.Jautājums: </w:t>
      </w:r>
      <w:r w:rsidR="009A7D48" w:rsidRPr="009A7D48">
        <w:rPr>
          <w:b/>
        </w:rPr>
        <w:tab/>
      </w:r>
      <w:r w:rsidR="009A7D48" w:rsidRPr="009A7D48">
        <w:t>Kā tiek noteikts, vai klasteris un biedrība kvalificējas kā projekta iesniedzējs?</w:t>
      </w:r>
    </w:p>
    <w:p w14:paraId="37A674C2" w14:textId="77777777" w:rsidR="00DD374F" w:rsidRPr="00DD374F" w:rsidRDefault="00DD374F" w:rsidP="00C00FEC">
      <w:pPr>
        <w:jc w:val="both"/>
        <w:rPr>
          <w:bCs/>
        </w:rPr>
      </w:pPr>
      <w:r w:rsidRPr="00DD374F">
        <w:rPr>
          <w:b/>
          <w:bCs/>
        </w:rPr>
        <w:t xml:space="preserve">Atbilde: </w:t>
      </w:r>
      <w:r w:rsidRPr="00DD374F">
        <w:rPr>
          <w:bCs/>
        </w:rPr>
        <w:t>Prasības projekta iesniedzējam noteiktas MK noteikumu Nr.205 11.punktā. Biedrība tiek vērtēta 6.kvalitātes kritērija, kas nav izslēdzošs, ietvaros.</w:t>
      </w:r>
      <w:bookmarkStart w:id="0" w:name="_GoBack"/>
      <w:bookmarkEnd w:id="0"/>
    </w:p>
    <w:p w14:paraId="382FFC7E" w14:textId="77777777" w:rsidR="00DD374F" w:rsidRDefault="00DD374F" w:rsidP="00C00FEC">
      <w:pPr>
        <w:jc w:val="both"/>
        <w:rPr>
          <w:b/>
        </w:rPr>
      </w:pPr>
    </w:p>
    <w:p w14:paraId="3E45CA04" w14:textId="444191A1" w:rsidR="00DD374F" w:rsidRPr="00DD374F" w:rsidRDefault="00A877F7" w:rsidP="00C00FEC">
      <w:pPr>
        <w:jc w:val="both"/>
        <w:rPr>
          <w:b/>
        </w:rPr>
      </w:pPr>
      <w:r>
        <w:rPr>
          <w:b/>
        </w:rPr>
        <w:t>3</w:t>
      </w:r>
      <w:r w:rsidR="00DD374F" w:rsidRPr="00DD374F">
        <w:rPr>
          <w:b/>
        </w:rPr>
        <w:t xml:space="preserve">.Jautājums: </w:t>
      </w:r>
      <w:r w:rsidR="00DD374F" w:rsidRPr="00DD374F">
        <w:t>Lūdzu sniegt skaidrojumu, kā tiks aprēķināta vidējā darba alga uzņēmumā.</w:t>
      </w:r>
    </w:p>
    <w:p w14:paraId="410F64EA" w14:textId="77777777" w:rsidR="00A877F7" w:rsidRDefault="00DD374F" w:rsidP="00C00FEC">
      <w:pPr>
        <w:jc w:val="both"/>
      </w:pPr>
      <w:r w:rsidRPr="00DD374F">
        <w:rPr>
          <w:b/>
          <w:bCs/>
        </w:rPr>
        <w:t>Atbilde:</w:t>
      </w:r>
      <w:r w:rsidRPr="00DD374F">
        <w:rPr>
          <w:b/>
        </w:rPr>
        <w:t> </w:t>
      </w:r>
      <w:r w:rsidR="00A877F7">
        <w:t xml:space="preserve">Kritēriju piemērošanas metodikā (projektu iesniegumu atlases nolikuma 4.pielikums) ir noteikts, kā tiks aprēķināta uzņēmuma vidējā darba alga un kritērija nosacījumi paredz tās salīdzināšanu ar valstī vidējo darba algu – </w:t>
      </w:r>
    </w:p>
    <w:p w14:paraId="069F32CA" w14:textId="77777777" w:rsidR="00A877F7" w:rsidRDefault="00A877F7" w:rsidP="00C00FEC">
      <w:pPr>
        <w:jc w:val="both"/>
      </w:pPr>
      <w:r>
        <w:t>https://www.vid.gov.lv/default.aspx?tabid=11&amp;id=7441&amp;hl=1</w:t>
      </w:r>
    </w:p>
    <w:p w14:paraId="246C1154" w14:textId="77777777" w:rsidR="00A877F7" w:rsidRDefault="00A877F7" w:rsidP="00C00FEC">
      <w:pPr>
        <w:jc w:val="both"/>
      </w:pPr>
      <w:r>
        <w:t xml:space="preserve">Projekta iesniedzējam projektu iesniegumu atlases nolikumam pievienotajā pielikumā “Klastera dalībnieku saraksts” jānorāda informācija par strādājošo skaitu un kopējo bruto darba algās samaksāto summu. </w:t>
      </w:r>
    </w:p>
    <w:p w14:paraId="60E181DB" w14:textId="77777777" w:rsidR="00A877F7" w:rsidRDefault="00A877F7" w:rsidP="00C00FEC">
      <w:pPr>
        <w:jc w:val="both"/>
      </w:pPr>
      <w:r>
        <w:t>Katram klastera dalībniekam aprēķina vidējo strādājošo bruto darba samaksu, kopējo summu, kas samaksāta kā bruto darba algas pēdējā noslēgtā gada laikā, izdalot ar strādājošo skaitu.</w:t>
      </w:r>
    </w:p>
    <w:p w14:paraId="463F8D31" w14:textId="77777777" w:rsidR="00A877F7" w:rsidRDefault="00A877F7" w:rsidP="00C00FEC">
      <w:pPr>
        <w:jc w:val="both"/>
      </w:pPr>
      <w:r>
        <w:t>Darbinieku bruto darba algas par klastera dalībniekiem – MVK - ir atrodamas sekojošos pārskatos:</w:t>
      </w:r>
    </w:p>
    <w:p w14:paraId="0F187A74" w14:textId="77777777" w:rsidR="00A877F7" w:rsidRDefault="00A877F7" w:rsidP="00C00FEC">
      <w:pPr>
        <w:jc w:val="both"/>
      </w:pPr>
      <w:r>
        <w:t xml:space="preserve">“Paziņojums par fiziskai personai izmaksātajām summām (kopsavilkums)”, kuru uzņēmums/organizācija iesniedz VID par pagājušo gadu līdz tekošā gada 01.februārim. Bruto darba algas tiek norādītas pēc ienākuma veida- 1001 “Darba alga” (kopsumma var tikt aprēķināta manuāli, filtrējot, summējot </w:t>
      </w:r>
      <w:proofErr w:type="spellStart"/>
      <w:r>
        <w:t>excel</w:t>
      </w:r>
      <w:proofErr w:type="spellEnd"/>
      <w:r>
        <w:t xml:space="preserve"> u.t.t. atbilstoši uzņēmuma/organizācijas tehniskajām iespējām);</w:t>
      </w:r>
    </w:p>
    <w:p w14:paraId="391E6BF7" w14:textId="77777777" w:rsidR="00A877F7" w:rsidRDefault="00A877F7" w:rsidP="00C00FEC">
      <w:pPr>
        <w:jc w:val="both"/>
      </w:pPr>
      <w:r>
        <w:t>“Ziņojums par valsts sociālās apdrošināšanas obligātajām iemaksām no darba ņēmēju darba ienākumiem, iedzīvotāju ienākuma nodokli un uzņēmējdarbības riska valsts nodevu pārskata mēnesī” sasummējot mēnešu bruto darba algu kopsummas;</w:t>
      </w:r>
    </w:p>
    <w:p w14:paraId="5F20A291" w14:textId="77777777" w:rsidR="00A877F7" w:rsidRDefault="00A877F7" w:rsidP="00C00FEC">
      <w:pPr>
        <w:jc w:val="both"/>
      </w:pPr>
      <w:r>
        <w:t>Gada pārskata pielikuma peļņas un zaudējuma aprēķina rindu atšifrējumos, kā arī sadaļā par vadības atalgojumu;</w:t>
      </w:r>
    </w:p>
    <w:p w14:paraId="02098B97" w14:textId="77777777" w:rsidR="00A877F7" w:rsidRDefault="00A877F7" w:rsidP="00C00FEC">
      <w:pPr>
        <w:jc w:val="both"/>
      </w:pPr>
      <w:r>
        <w:lastRenderedPageBreak/>
        <w:t>Grāmatvedības kontu izdrukās (konts 7210, konts 7220 u.c. darba samaksas konti atbilstoši uzņēmuma/organizācijas grāmatvedības uzskaites metodikai) vai grāmatvedības uzskaites sistēmas citos algu reģistros/atskaitēs, atbilstoši grāmatvedības programmas konfigurācijai  (datiem no grāmatvedības uzskaites programmas jābūt atbilstošiem iesniegtajiem pārskatiem VID).</w:t>
      </w:r>
    </w:p>
    <w:p w14:paraId="11084419" w14:textId="77777777" w:rsidR="00A877F7" w:rsidRDefault="00A877F7" w:rsidP="00C00FEC">
      <w:pPr>
        <w:jc w:val="both"/>
      </w:pPr>
      <w:r>
        <w:t>2.</w:t>
      </w:r>
      <w:r>
        <w:tab/>
        <w:t>Vērtēšanā tiek piemērots darba samaksu koriģējošs koeficients atbilstoši reģionam, kurā reģistrēts klastera dalībnieks, lai iegūtu ar reģiona vidējo darba samaksu samērojamu rādītāju. Koeficients tiek iegūts, izmantojot datus no  Centrālās statistikas pārvaldes datubāzes (http://www.csb.gov.lv/statistikas-temas/darba-samaksa-datubaze-30046.html) par rādītāju DSG05. STRĀDĀJOŠO MĒNEŠA VIDĒJĀ DARBA SAMAKSA LATVIJAS STATISTISKAJOS REĢIONOS (</w:t>
      </w:r>
      <w:proofErr w:type="spellStart"/>
      <w:r>
        <w:t>euro</w:t>
      </w:r>
      <w:proofErr w:type="spellEnd"/>
      <w:r>
        <w:t xml:space="preserve">). </w:t>
      </w:r>
    </w:p>
    <w:p w14:paraId="052929DC" w14:textId="77777777" w:rsidR="00A877F7" w:rsidRDefault="00A877F7" w:rsidP="00C00FEC">
      <w:pPr>
        <w:jc w:val="both"/>
      </w:pPr>
      <w:r>
        <w:t>3.</w:t>
      </w:r>
      <w:r>
        <w:tab/>
        <w:t>Aprēķināto vidējo samaksu koriģē atbilstoši reģionam un pareizina ar klastera dalībnieka strādājošo skaitu, tādējādi iegūstot kopējo koriģēto summu, kas klastera dalībniekā samaksāta strādājošajiem kā bruto darba alga.</w:t>
      </w:r>
    </w:p>
    <w:p w14:paraId="173787EF" w14:textId="77777777" w:rsidR="00A877F7" w:rsidRDefault="00A877F7" w:rsidP="00C00FEC">
      <w:pPr>
        <w:jc w:val="both"/>
      </w:pPr>
      <w:r>
        <w:t>4.</w:t>
      </w:r>
      <w:r>
        <w:tab/>
        <w:t>Pēc tam saskaita kopā visu klastera dalībnieku koriģētās darba samaksas summas un izdala ar kopējo klastera dalībniekos strādājošo skaitu.</w:t>
      </w:r>
    </w:p>
    <w:p w14:paraId="48669957" w14:textId="77777777" w:rsidR="00A877F7" w:rsidRDefault="00A877F7" w:rsidP="00C00FEC">
      <w:pPr>
        <w:jc w:val="both"/>
      </w:pPr>
      <w:r>
        <w:t>Iegūto vērtību salīdzina ar  Latvijas strādājošo mēneša vidējo darba samaksu gadā (visos tautsaimniecības sektoros), kas publicēta Centrālās statistikas pārvaldes tīmekļa vietnē (http://www.csb.gov.lv/statistikas-temas/darba-samaksa-galvenie-raditaji-30270.html</w:t>
      </w:r>
    </w:p>
    <w:p w14:paraId="51804497" w14:textId="52AC8FA4" w:rsidR="00DD374F" w:rsidRDefault="00DD374F" w:rsidP="00C00FEC">
      <w:pPr>
        <w:jc w:val="both"/>
        <w:rPr>
          <w:b/>
        </w:rPr>
      </w:pPr>
    </w:p>
    <w:p w14:paraId="6A71B03D" w14:textId="227C9DF7" w:rsidR="009A7D48" w:rsidRDefault="00A877F7" w:rsidP="00C00FEC">
      <w:pPr>
        <w:jc w:val="both"/>
      </w:pPr>
      <w:r>
        <w:rPr>
          <w:b/>
        </w:rPr>
        <w:t xml:space="preserve">4. </w:t>
      </w:r>
      <w:r w:rsidR="00CA39F7" w:rsidRPr="00CA39F7">
        <w:rPr>
          <w:b/>
        </w:rPr>
        <w:t>Jautājums:</w:t>
      </w:r>
      <w:r w:rsidR="00CA39F7">
        <w:t xml:space="preserve"> V</w:t>
      </w:r>
      <w:r w:rsidR="00CA39F7" w:rsidRPr="00CA39F7">
        <w:t xml:space="preserve">ai dokumentam bez komersanta reģ.nr. ir juridiskais spēks, ar to domājot apliecinājumu </w:t>
      </w:r>
      <w:proofErr w:type="spellStart"/>
      <w:r w:rsidR="00CA39F7" w:rsidRPr="00CA39F7">
        <w:t>standartformas</w:t>
      </w:r>
      <w:proofErr w:type="spellEnd"/>
      <w:r w:rsidR="00CA39F7" w:rsidRPr="00CA39F7">
        <w:t>, kas PI jāpievieno. Pēc līdzīgas formas (bez komersanta reģ.nr.) klasteris sagatavojis piekrišanas vēstules.</w:t>
      </w:r>
    </w:p>
    <w:p w14:paraId="00A01F22" w14:textId="317EE296" w:rsidR="004D1EC3" w:rsidRPr="00A877F7" w:rsidRDefault="00CA39F7" w:rsidP="00C00FEC">
      <w:pPr>
        <w:jc w:val="both"/>
        <w:rPr>
          <w:rFonts w:ascii="Calibri" w:eastAsia="Calibri" w:hAnsi="Calibri" w:cs="Times New Roman"/>
        </w:rPr>
      </w:pPr>
      <w:r w:rsidRPr="00CA39F7">
        <w:rPr>
          <w:b/>
        </w:rPr>
        <w:t xml:space="preserve">Atbilde: </w:t>
      </w:r>
      <w:r w:rsidR="004D1EC3" w:rsidRPr="004D1EC3">
        <w:rPr>
          <w:rFonts w:ascii="Calibri" w:eastAsia="Calibri" w:hAnsi="Calibri" w:cs="Times New Roman"/>
        </w:rPr>
        <w:t xml:space="preserve">Jā, </w:t>
      </w:r>
      <w:r w:rsidR="00A877F7">
        <w:rPr>
          <w:rFonts w:ascii="Calibri" w:eastAsia="Calibri" w:hAnsi="Calibri" w:cs="Times New Roman"/>
        </w:rPr>
        <w:t>dokumentam bez komersanta reģ.nr. ir juridisks spēks</w:t>
      </w:r>
      <w:r w:rsidR="004D1EC3" w:rsidRPr="004D1EC3">
        <w:rPr>
          <w:rFonts w:ascii="Calibri" w:eastAsia="Calibri" w:hAnsi="Calibri" w:cs="Times New Roman"/>
        </w:rPr>
        <w:t xml:space="preserve">, jo saskaņā </w:t>
      </w:r>
      <w:r w:rsidR="004D1EC3" w:rsidRPr="00A877F7">
        <w:rPr>
          <w:rFonts w:ascii="Calibri" w:eastAsia="Calibri" w:hAnsi="Calibri" w:cs="Times New Roman"/>
        </w:rPr>
        <w:t>ar Dokumentu juridiskā spēka likuma 4.pantu, lai dokumentam būtu juridisks spēks, tajā iekļauj šādus rekvizītus:</w:t>
      </w:r>
    </w:p>
    <w:p w14:paraId="19D6FBB9"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1) dokumenta autoru nosaukums;</w:t>
      </w:r>
    </w:p>
    <w:p w14:paraId="6783ADAA"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2) dokumenta datums;</w:t>
      </w:r>
    </w:p>
    <w:p w14:paraId="41AA46B6"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3) paraksts.</w:t>
      </w:r>
    </w:p>
    <w:p w14:paraId="3C677E26"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(2) Tiesību aktos noteiktajos gadījumos organizācijas dokumentā, lai tam būtu juridisks spēks, papildus šā panta pirmajā daļā minētajiem rekvizītiem iekļauj šādus rekvizītus:</w:t>
      </w:r>
    </w:p>
    <w:p w14:paraId="695F3CF6"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1) dokumenta izdošanas vietas nosaukums;</w:t>
      </w:r>
    </w:p>
    <w:p w14:paraId="05B29C50"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2) zīmoga nospiedums;</w:t>
      </w:r>
    </w:p>
    <w:p w14:paraId="30234E9A"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3) dokumenta apstiprinājuma uzraksts vai atzīme par dokumenta apstiprināšanu;</w:t>
      </w:r>
    </w:p>
    <w:p w14:paraId="558B43DC"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4) dokumenta reģistrācijas numurs.</w:t>
      </w:r>
    </w:p>
    <w:p w14:paraId="5AB72790" w14:textId="77777777" w:rsidR="004D1EC3" w:rsidRPr="00A877F7" w:rsidRDefault="004D1EC3" w:rsidP="00C00FEC">
      <w:pPr>
        <w:spacing w:after="0" w:line="240" w:lineRule="auto"/>
        <w:jc w:val="both"/>
        <w:rPr>
          <w:rFonts w:ascii="Calibri" w:eastAsia="Calibri" w:hAnsi="Calibri" w:cs="Times New Roman"/>
        </w:rPr>
      </w:pPr>
      <w:r w:rsidRPr="00A877F7">
        <w:rPr>
          <w:rFonts w:ascii="Calibri" w:eastAsia="Calibri" w:hAnsi="Calibri" w:cs="Times New Roman"/>
        </w:rPr>
        <w:t>(3) Dokumentā, kurā norādāms tā saņēmējs, lai šim dokumentam būtu juridisks spēks, norāda arī adresātu.</w:t>
      </w:r>
    </w:p>
    <w:p w14:paraId="37B53DDC" w14:textId="3F130194" w:rsidR="00CA39F7" w:rsidRPr="00CA39F7" w:rsidRDefault="00CA39F7" w:rsidP="00C00FEC">
      <w:pPr>
        <w:jc w:val="both"/>
        <w:rPr>
          <w:b/>
        </w:rPr>
      </w:pPr>
    </w:p>
    <w:p w14:paraId="5ED6E975" w14:textId="77777777" w:rsidR="00CA39F7" w:rsidRDefault="00CA39F7" w:rsidP="00C00FEC">
      <w:pPr>
        <w:jc w:val="both"/>
      </w:pPr>
    </w:p>
    <w:sectPr w:rsidR="00CA39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D3FB0"/>
    <w:multiLevelType w:val="hybridMultilevel"/>
    <w:tmpl w:val="04CA0E2E"/>
    <w:lvl w:ilvl="0" w:tplc="EF5641F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C1517D"/>
    <w:multiLevelType w:val="hybridMultilevel"/>
    <w:tmpl w:val="1D6C07E8"/>
    <w:lvl w:ilvl="0" w:tplc="A36A904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C"/>
    <w:rsid w:val="000057EC"/>
    <w:rsid w:val="000B4234"/>
    <w:rsid w:val="004D1EC3"/>
    <w:rsid w:val="009A7D48"/>
    <w:rsid w:val="00A877F7"/>
    <w:rsid w:val="00C00FEC"/>
    <w:rsid w:val="00CA39F7"/>
    <w:rsid w:val="00DD374F"/>
    <w:rsid w:val="00E63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D02B"/>
  <w15:chartTrackingRefBased/>
  <w15:docId w15:val="{22B4DC95-3ADF-4379-B670-CC8587F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D48"/>
    <w:rPr>
      <w:sz w:val="16"/>
      <w:szCs w:val="16"/>
    </w:rPr>
  </w:style>
  <w:style w:type="paragraph" w:styleId="CommentText">
    <w:name w:val="annotation text"/>
    <w:basedOn w:val="Normal"/>
    <w:link w:val="CommentTextChar"/>
    <w:uiPriority w:val="99"/>
    <w:semiHidden/>
    <w:unhideWhenUsed/>
    <w:rsid w:val="009A7D48"/>
    <w:pPr>
      <w:spacing w:after="0" w:line="240" w:lineRule="auto"/>
    </w:pPr>
    <w:rPr>
      <w:rFonts w:ascii="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A7D48"/>
    <w:rPr>
      <w:rFonts w:ascii="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A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48"/>
    <w:rPr>
      <w:rFonts w:ascii="Segoe UI" w:hAnsi="Segoe UI" w:cs="Segoe UI"/>
      <w:sz w:val="18"/>
      <w:szCs w:val="18"/>
    </w:rPr>
  </w:style>
  <w:style w:type="character" w:styleId="Hyperlink">
    <w:name w:val="Hyperlink"/>
    <w:basedOn w:val="DefaultParagraphFont"/>
    <w:uiPriority w:val="99"/>
    <w:unhideWhenUsed/>
    <w:rsid w:val="009A7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2B5C5040</Template>
  <TotalTime>66</TotalTime>
  <Pages>2</Pages>
  <Words>3127</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Zeme</dc:creator>
  <cp:keywords/>
  <dc:description/>
  <cp:lastModifiedBy>Aiga Zeme</cp:lastModifiedBy>
  <cp:revision>9</cp:revision>
  <dcterms:created xsi:type="dcterms:W3CDTF">2016-06-17T06:45:00Z</dcterms:created>
  <dcterms:modified xsi:type="dcterms:W3CDTF">2016-06-20T06:33:00Z</dcterms:modified>
</cp:coreProperties>
</file>