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259" w:rsidRPr="0079388F" w:rsidRDefault="00071259" w:rsidP="00071259">
      <w:pPr>
        <w:jc w:val="right"/>
        <w:rPr>
          <w:b/>
        </w:rPr>
      </w:pPr>
      <w:bookmarkStart w:id="0" w:name="_GoBack"/>
      <w:bookmarkEnd w:id="0"/>
      <w:r w:rsidRPr="0079388F">
        <w:rPr>
          <w:b/>
        </w:rPr>
        <w:t>04.10. 2016.</w:t>
      </w:r>
    </w:p>
    <w:p w:rsidR="00071259" w:rsidRPr="0079388F" w:rsidRDefault="00071259" w:rsidP="00071259">
      <w:pPr>
        <w:rPr>
          <w:b/>
          <w:u w:val="single"/>
        </w:rPr>
      </w:pPr>
    </w:p>
    <w:p w:rsidR="00071259" w:rsidRPr="0079388F" w:rsidRDefault="00D501E0" w:rsidP="00071259">
      <w:pPr>
        <w:rPr>
          <w:b/>
          <w:u w:val="single"/>
        </w:rPr>
      </w:pPr>
      <w:r>
        <w:rPr>
          <w:b/>
          <w:u w:val="single"/>
        </w:rPr>
        <w:t xml:space="preserve">SAM 4.2.1.2. </w:t>
      </w:r>
      <w:r w:rsidR="00071259" w:rsidRPr="0079388F">
        <w:rPr>
          <w:b/>
          <w:u w:val="single"/>
        </w:rPr>
        <w:t>Projekta iesnieguma sagatavošanas, iesniegšanas un vērtēšanas jautājumi</w:t>
      </w:r>
    </w:p>
    <w:p w:rsidR="00071259" w:rsidRPr="0079388F" w:rsidRDefault="00071259" w:rsidP="00071259">
      <w:pPr>
        <w:rPr>
          <w:b/>
          <w:u w:val="single"/>
        </w:rPr>
      </w:pPr>
    </w:p>
    <w:p w:rsidR="00071259" w:rsidRPr="0079388F" w:rsidRDefault="00071259" w:rsidP="00071259">
      <w:pPr>
        <w:rPr>
          <w:b/>
          <w:u w:val="single"/>
        </w:rPr>
      </w:pPr>
    </w:p>
    <w:p w:rsidR="0079388F" w:rsidRPr="0079388F" w:rsidRDefault="0079388F" w:rsidP="0079388F">
      <w:pPr>
        <w:pStyle w:val="ListParagraph"/>
        <w:ind w:left="502"/>
        <w:jc w:val="both"/>
        <w:rPr>
          <w:rFonts w:ascii="Times New Roman" w:hAnsi="Times New Roman" w:cs="Times New Roman"/>
          <w:sz w:val="24"/>
          <w:szCs w:val="24"/>
        </w:rPr>
      </w:pPr>
      <w:r w:rsidRPr="0079388F">
        <w:rPr>
          <w:rFonts w:ascii="Times New Roman" w:hAnsi="Times New Roman" w:cs="Times New Roman"/>
          <w:b/>
          <w:sz w:val="24"/>
          <w:szCs w:val="24"/>
        </w:rPr>
        <w:t xml:space="preserve">1.jautājums: </w:t>
      </w:r>
      <w:r w:rsidR="00071259" w:rsidRPr="0079388F">
        <w:rPr>
          <w:rFonts w:ascii="Times New Roman" w:hAnsi="Times New Roman" w:cs="Times New Roman"/>
          <w:sz w:val="24"/>
          <w:szCs w:val="24"/>
        </w:rPr>
        <w:t xml:space="preserve">Vai iesniedzot projekta iesniegumu ir jāatver atsevišķs konts projekta īstenošanai? Ja, jā, tad, vai tas ir jādara pilnīgi visiem 2016.gada 9.augusta Ministru kabineta noteikumu Nr.534 “Darbības programmas "Izaugsme un nodarbinātība" 4.2.1. specifiskā atbalsta mērķa "Veicināt energoefektivitātes paaugstināšanu valsts un dzīvojamās ēkās" 4.2.1.2. pasākuma "Veicināt energoefektivitātes paaugstināšanu valsts ēkās"  (turpmāk MK noteikumi Nr.534) pirmās projektu iesniegumu atlases kārtas īstenošanas noteikumi 13.punktā minētajiem projekta iesniedzējiem? Ņemot vērā, ka būs gadījumi, kad ir viens projekta iesniedzējs, kurš sagatavos projekta iesniegumus par vairākām ēkām, vai konts ir jāatver uz katru projekta iesniegumu vai arī var par visiem objektiem vienu? </w:t>
      </w:r>
    </w:p>
    <w:p w:rsidR="00071259" w:rsidRPr="0079388F" w:rsidRDefault="0079388F" w:rsidP="0079388F">
      <w:pPr>
        <w:pStyle w:val="ListParagraph"/>
        <w:ind w:left="502"/>
        <w:jc w:val="both"/>
        <w:rPr>
          <w:rFonts w:ascii="Times New Roman" w:hAnsi="Times New Roman" w:cs="Times New Roman"/>
          <w:sz w:val="24"/>
          <w:szCs w:val="24"/>
        </w:rPr>
      </w:pPr>
      <w:r w:rsidRPr="0079388F">
        <w:rPr>
          <w:rFonts w:ascii="Times New Roman" w:hAnsi="Times New Roman" w:cs="Times New Roman"/>
          <w:b/>
          <w:sz w:val="24"/>
          <w:szCs w:val="24"/>
        </w:rPr>
        <w:t>Atbilde:</w:t>
      </w:r>
      <w:r w:rsidRPr="0079388F">
        <w:rPr>
          <w:rFonts w:ascii="Times New Roman" w:hAnsi="Times New Roman" w:cs="Times New Roman"/>
          <w:sz w:val="24"/>
          <w:szCs w:val="24"/>
        </w:rPr>
        <w:t xml:space="preserve"> </w:t>
      </w:r>
      <w:r w:rsidR="00071259" w:rsidRPr="0079388F">
        <w:rPr>
          <w:rFonts w:ascii="Times New Roman" w:hAnsi="Times New Roman" w:cs="Times New Roman"/>
          <w:color w:val="1F497D"/>
          <w:sz w:val="24"/>
          <w:szCs w:val="24"/>
        </w:rPr>
        <w:t xml:space="preserve"> </w:t>
      </w:r>
      <w:r w:rsidR="00071259" w:rsidRPr="0079388F">
        <w:rPr>
          <w:rFonts w:ascii="Times New Roman" w:hAnsi="Times New Roman" w:cs="Times New Roman"/>
          <w:sz w:val="24"/>
          <w:szCs w:val="24"/>
        </w:rPr>
        <w:t>Jā, visiem projekta iesniedzējiem ir jāatver atsevišķs konts projekta īstenošanai.</w:t>
      </w:r>
    </w:p>
    <w:p w:rsidR="00071259" w:rsidRPr="0079388F" w:rsidRDefault="00071259" w:rsidP="00071259">
      <w:pPr>
        <w:pStyle w:val="ListParagraph"/>
        <w:ind w:left="502"/>
        <w:jc w:val="both"/>
        <w:rPr>
          <w:rFonts w:ascii="Times New Roman" w:hAnsi="Times New Roman" w:cs="Times New Roman"/>
          <w:sz w:val="24"/>
          <w:szCs w:val="24"/>
        </w:rPr>
      </w:pPr>
      <w:r w:rsidRPr="0079388F">
        <w:rPr>
          <w:rFonts w:ascii="Times New Roman" w:hAnsi="Times New Roman" w:cs="Times New Roman"/>
          <w:sz w:val="24"/>
          <w:szCs w:val="24"/>
        </w:rPr>
        <w:t xml:space="preserve">  “Vadlīnijas par Eiropas Savienības struktūrfondu un Kohēzijas fonda līdzfinansētā projekta pārbaudēm 2014.-2020.gada plānošanas periodā” 14.7.3.punktā noteikts, ja sadarbības iestāde ir apstiprinājusi vairākus finansējuma saņēmēja iesniegtos projektus, tad norēķinus visu apstiprināto projektu ietvaros finansējuma saņēmējs var veikt no viena Latvijas Republikas kredītiestādē atvērta norēķinu konta, šādos gadījumos sadarbības iestādei jāpārliecinās, vai viena konta izmantošanas rezultātā nav konstatējama dubultā iegrāmatošana.</w:t>
      </w:r>
    </w:p>
    <w:p w:rsidR="0079388F" w:rsidRPr="0079388F" w:rsidRDefault="0079388F" w:rsidP="00071259">
      <w:pPr>
        <w:pStyle w:val="ListParagraph"/>
        <w:ind w:left="502"/>
        <w:jc w:val="both"/>
        <w:rPr>
          <w:rFonts w:ascii="Times New Roman" w:hAnsi="Times New Roman" w:cs="Times New Roman"/>
          <w:sz w:val="24"/>
          <w:szCs w:val="24"/>
        </w:rPr>
      </w:pPr>
    </w:p>
    <w:p w:rsidR="00071259" w:rsidRPr="0079388F" w:rsidRDefault="0079388F" w:rsidP="0079388F">
      <w:pPr>
        <w:pStyle w:val="ListParagraph"/>
        <w:ind w:left="502"/>
        <w:jc w:val="both"/>
        <w:rPr>
          <w:rFonts w:ascii="Times New Roman" w:hAnsi="Times New Roman" w:cs="Times New Roman"/>
          <w:sz w:val="24"/>
          <w:szCs w:val="24"/>
        </w:rPr>
      </w:pPr>
      <w:r w:rsidRPr="0079388F">
        <w:rPr>
          <w:rFonts w:ascii="Times New Roman" w:hAnsi="Times New Roman" w:cs="Times New Roman"/>
          <w:b/>
          <w:sz w:val="24"/>
          <w:szCs w:val="24"/>
        </w:rPr>
        <w:t>2.jautājums</w:t>
      </w:r>
      <w:r w:rsidRPr="0079388F">
        <w:rPr>
          <w:rFonts w:ascii="Times New Roman" w:hAnsi="Times New Roman" w:cs="Times New Roman"/>
          <w:sz w:val="24"/>
          <w:szCs w:val="24"/>
        </w:rPr>
        <w:t xml:space="preserve">: </w:t>
      </w:r>
      <w:r w:rsidR="00071259" w:rsidRPr="0079388F">
        <w:rPr>
          <w:rFonts w:ascii="Times New Roman" w:hAnsi="Times New Roman" w:cs="Times New Roman"/>
          <w:sz w:val="24"/>
          <w:szCs w:val="24"/>
        </w:rPr>
        <w:t>Kā projekta iesnieguma veidlapā ir jānorāda projekta vadības izmaksas, ja  ir viena projekta vadība, kas sagatavo projekta iesniegumus par vairākām ēkām? Vai projekta vadības izmaksas ir jānorāda vienā projekta iesnieguma veidlapā vai arī jādala ņemot vērā ēku projektu iesniegumu skaitu? Ja projekta vadības izmaksas ir jādala un jānorāda katrā projekta iesniegumā tās sadalot, kā notiek šo izmaksu sadalīšana – vai ņemot vērā ēku platību?</w:t>
      </w:r>
    </w:p>
    <w:p w:rsidR="00071259" w:rsidRPr="0079388F" w:rsidRDefault="0079388F" w:rsidP="0079388F">
      <w:pPr>
        <w:pStyle w:val="ListParagraph"/>
        <w:ind w:left="502"/>
        <w:jc w:val="both"/>
        <w:rPr>
          <w:rFonts w:ascii="Times New Roman" w:hAnsi="Times New Roman" w:cs="Times New Roman"/>
          <w:sz w:val="24"/>
          <w:szCs w:val="24"/>
        </w:rPr>
      </w:pPr>
      <w:r w:rsidRPr="0079388F">
        <w:rPr>
          <w:rFonts w:ascii="Times New Roman" w:hAnsi="Times New Roman" w:cs="Times New Roman"/>
          <w:b/>
          <w:sz w:val="24"/>
          <w:szCs w:val="24"/>
        </w:rPr>
        <w:t>Atbilde:</w:t>
      </w:r>
      <w:r w:rsidRPr="0079388F">
        <w:rPr>
          <w:rFonts w:ascii="Times New Roman" w:hAnsi="Times New Roman" w:cs="Times New Roman"/>
          <w:sz w:val="24"/>
          <w:szCs w:val="24"/>
        </w:rPr>
        <w:t xml:space="preserve">  </w:t>
      </w:r>
      <w:r w:rsidR="00071259" w:rsidRPr="0079388F">
        <w:rPr>
          <w:rFonts w:ascii="Times New Roman" w:hAnsi="Times New Roman" w:cs="Times New Roman"/>
          <w:sz w:val="24"/>
          <w:szCs w:val="24"/>
        </w:rPr>
        <w:t>Ja projektu vadība sagatavo vairākus projekta iesniegumus, tad izmaksas nevar norādīt vienā projekta iesnieguma veidlapā, bet ir jānorāda atsevišķi katrā projekta iesniegumā. Izmaksu dalīšana notiek atbilstoši noteiktajām izmaksām, noslēgtajiem līgumiem, nav noteikts, ka izmaksām būtu kāds sakars ar ēku platībām. Jāņem vērā vienīgi MK noteikumu 22.3.apakšpunkta noteiktais ierobežojums:</w:t>
      </w:r>
    </w:p>
    <w:p w:rsidR="00071259" w:rsidRPr="0079388F" w:rsidRDefault="00071259" w:rsidP="00071259">
      <w:pPr>
        <w:pStyle w:val="ListParagraph"/>
        <w:numPr>
          <w:ilvl w:val="0"/>
          <w:numId w:val="2"/>
        </w:numPr>
        <w:jc w:val="both"/>
        <w:rPr>
          <w:rFonts w:ascii="Times New Roman" w:hAnsi="Times New Roman" w:cs="Times New Roman"/>
          <w:sz w:val="24"/>
          <w:szCs w:val="24"/>
        </w:rPr>
      </w:pPr>
      <w:r w:rsidRPr="0079388F">
        <w:rPr>
          <w:rFonts w:ascii="Times New Roman" w:hAnsi="Times New Roman" w:cs="Times New Roman"/>
          <w:sz w:val="24"/>
          <w:szCs w:val="24"/>
        </w:rPr>
        <w:t>tās nepārsniedz 56 580 euro gadā, ja tiešās attiecināmās izmaksas ir pieci miljoni euro vai lielākas;</w:t>
      </w:r>
    </w:p>
    <w:p w:rsidR="00071259" w:rsidRPr="0079388F" w:rsidRDefault="00071259" w:rsidP="00071259">
      <w:pPr>
        <w:pStyle w:val="ListParagraph"/>
        <w:numPr>
          <w:ilvl w:val="0"/>
          <w:numId w:val="2"/>
        </w:numPr>
        <w:jc w:val="both"/>
        <w:rPr>
          <w:rFonts w:ascii="Times New Roman" w:hAnsi="Times New Roman" w:cs="Times New Roman"/>
          <w:sz w:val="24"/>
          <w:szCs w:val="24"/>
        </w:rPr>
      </w:pPr>
      <w:r w:rsidRPr="0079388F">
        <w:rPr>
          <w:rFonts w:ascii="Times New Roman" w:hAnsi="Times New Roman" w:cs="Times New Roman"/>
          <w:sz w:val="24"/>
          <w:szCs w:val="24"/>
        </w:rPr>
        <w:t>tās nepārsniedz 24 426 euro gadā, pieskaitot 0,64 % no tiešajām attiecināmajām izmaksām, bet neieskaitot tiešās projekta vadības personāla izmaksas, ja tiešās attiecināmās izmaksas ir mazākas par pieciem miljoniem euro;</w:t>
      </w:r>
    </w:p>
    <w:p w:rsidR="00071259" w:rsidRPr="0079388F" w:rsidRDefault="00071259" w:rsidP="00071259">
      <w:pPr>
        <w:pStyle w:val="ListParagraph"/>
        <w:numPr>
          <w:ilvl w:val="0"/>
          <w:numId w:val="2"/>
        </w:numPr>
        <w:jc w:val="both"/>
        <w:rPr>
          <w:rFonts w:ascii="Times New Roman" w:hAnsi="Times New Roman" w:cs="Times New Roman"/>
          <w:sz w:val="24"/>
          <w:szCs w:val="24"/>
        </w:rPr>
      </w:pPr>
      <w:r w:rsidRPr="0079388F">
        <w:rPr>
          <w:rFonts w:ascii="Times New Roman" w:hAnsi="Times New Roman" w:cs="Times New Roman"/>
          <w:sz w:val="24"/>
          <w:szCs w:val="24"/>
        </w:rPr>
        <w:t>attiecināma ir ne mazāka kā 30 % noslodze, personāla iesaisti projektā nodrošinot saskaņā ar daļlaika attiecināmības principu (attiecināms, ja izmaksas radušās uz darba līguma pamata).</w:t>
      </w:r>
    </w:p>
    <w:p w:rsidR="00071259" w:rsidRPr="0079388F" w:rsidRDefault="00071259" w:rsidP="00071259">
      <w:pPr>
        <w:jc w:val="both"/>
      </w:pPr>
    </w:p>
    <w:p w:rsidR="0079388F" w:rsidRPr="0079388F" w:rsidRDefault="0079388F" w:rsidP="0079388F">
      <w:pPr>
        <w:rPr>
          <w:b/>
          <w:u w:val="single"/>
        </w:rPr>
      </w:pPr>
    </w:p>
    <w:p w:rsidR="00071259" w:rsidRPr="0079388F" w:rsidRDefault="0079388F" w:rsidP="0079388F">
      <w:pPr>
        <w:pStyle w:val="ListParagraph"/>
        <w:ind w:left="502"/>
        <w:jc w:val="both"/>
        <w:rPr>
          <w:rFonts w:ascii="Times New Roman" w:hAnsi="Times New Roman" w:cs="Times New Roman"/>
          <w:color w:val="1F497D"/>
          <w:sz w:val="24"/>
          <w:szCs w:val="24"/>
        </w:rPr>
      </w:pPr>
      <w:r w:rsidRPr="0079388F">
        <w:rPr>
          <w:rFonts w:ascii="Times New Roman" w:hAnsi="Times New Roman" w:cs="Times New Roman"/>
          <w:b/>
          <w:sz w:val="24"/>
          <w:szCs w:val="24"/>
        </w:rPr>
        <w:lastRenderedPageBreak/>
        <w:t xml:space="preserve">3.jautājums: </w:t>
      </w:r>
      <w:r w:rsidR="00071259" w:rsidRPr="0079388F">
        <w:rPr>
          <w:rFonts w:ascii="Times New Roman" w:hAnsi="Times New Roman" w:cs="Times New Roman"/>
          <w:sz w:val="24"/>
          <w:szCs w:val="24"/>
        </w:rPr>
        <w:t xml:space="preserve">Cik ilgā laikā notiek avansa izmaksāšana? Vai ir kādi nosacījumi, ierobežojumi, kas jāņem vērā saņemot avansu? </w:t>
      </w:r>
    </w:p>
    <w:p w:rsidR="00071259" w:rsidRPr="0079388F" w:rsidRDefault="0079388F" w:rsidP="0079388F">
      <w:pPr>
        <w:ind w:left="502"/>
        <w:jc w:val="both"/>
        <w:rPr>
          <w:lang w:eastAsia="en-US"/>
        </w:rPr>
      </w:pPr>
      <w:r w:rsidRPr="0079388F">
        <w:rPr>
          <w:b/>
        </w:rPr>
        <w:t>Atbilde:</w:t>
      </w:r>
      <w:r w:rsidRPr="0079388F">
        <w:t xml:space="preserve"> </w:t>
      </w:r>
      <w:r w:rsidRPr="0079388F">
        <w:rPr>
          <w:color w:val="1F497D"/>
        </w:rPr>
        <w:t xml:space="preserve">  </w:t>
      </w:r>
      <w:r w:rsidR="00071259" w:rsidRPr="0079388F">
        <w:rPr>
          <w:lang w:eastAsia="en-US"/>
        </w:rPr>
        <w:t>2015.gada  17.marta Ministru kabineta noteikumu Nr.130 “Noteikumi par valsts budžeta līdzekļu plānošanu Eiropas Savienības struktūrfondu un Kohēzijas fonda projektu īstenošanai un maksājumu veikšanu 2014.–2020.gada plānošanas periodā”  (turpmāk- MK noteikumi Nr.130) 29.punktā noteikts, ja finansējuma saņēmējam ir piešķirts avansa maksājums projekta īstenošanai, finansējuma saņēmējs iesniedz sadarbības iestādē maksājuma pieprasījumu piešķirtā avansa maksājuma apmērā sešu mēnešu laikā pēc avansa maksājuma saņemšanas.</w:t>
      </w:r>
    </w:p>
    <w:p w:rsidR="00071259" w:rsidRPr="0079388F" w:rsidRDefault="00071259" w:rsidP="0079388F">
      <w:pPr>
        <w:ind w:left="502"/>
        <w:jc w:val="both"/>
        <w:rPr>
          <w:lang w:eastAsia="en-US"/>
        </w:rPr>
      </w:pPr>
      <w:r w:rsidRPr="0079388F">
        <w:rPr>
          <w:lang w:eastAsia="en-US"/>
        </w:rPr>
        <w:t xml:space="preserve">Saskaņā ar MK noteikumu Nr.534 43.punktu, finansējuma saņēmēji var saņemt avansa maksājumu 90% apmērā no projektam piešķirta ERAF finansējuma, un ja tas ir paredzēts projektā, valsts budžeta līdzfinansējuma kopsummas.  Valsts kapitālsabiedrības var saņemt avansa maksājumu 100% apmērā. Avansa maksājumu var saņemt vairākos maksājumos. </w:t>
      </w:r>
    </w:p>
    <w:p w:rsidR="00071259" w:rsidRPr="0079388F" w:rsidRDefault="00071259" w:rsidP="0079388F">
      <w:pPr>
        <w:ind w:left="502"/>
        <w:jc w:val="both"/>
        <w:rPr>
          <w:lang w:eastAsia="en-US"/>
        </w:rPr>
      </w:pPr>
      <w:r w:rsidRPr="0079388F">
        <w:rPr>
          <w:lang w:eastAsia="en-US"/>
        </w:rPr>
        <w:t xml:space="preserve">Lai saņemtu avansa maksājumu, finansējuma saņēmējam ir jāiesniedz avansa maksājuma pieprasījums brīvā formā, kurā ir iekļauts avansa nepieciešamības pamatojums, norādīta nepieciešamā avansa maksājuma summa, kā arī pievienoti pamatojošie dokumenti un ir  atvērts konts atbilstoši MK noteikumos Nr.130 noteiktajam. Sīkāka informācija CFLA mājaslapā- </w:t>
      </w:r>
      <w:hyperlink r:id="rId5" w:history="1">
        <w:r w:rsidRPr="0079388F">
          <w:rPr>
            <w:lang w:eastAsia="en-US"/>
          </w:rPr>
          <w:t>http://cfla.gov.lv/lv/es-fondi-2014-2020/paligs-finansejuma-sanemejiem/avansa-maksajums</w:t>
        </w:r>
      </w:hyperlink>
      <w:r w:rsidRPr="0079388F">
        <w:rPr>
          <w:lang w:eastAsia="en-US"/>
        </w:rPr>
        <w:t>.</w:t>
      </w:r>
    </w:p>
    <w:p w:rsidR="00071259" w:rsidRPr="0079388F" w:rsidRDefault="00071259" w:rsidP="00071259">
      <w:pPr>
        <w:jc w:val="both"/>
      </w:pPr>
    </w:p>
    <w:p w:rsidR="0079388F" w:rsidRDefault="0079388F" w:rsidP="00071259">
      <w:pPr>
        <w:pStyle w:val="ListParagraph"/>
        <w:ind w:left="502"/>
        <w:jc w:val="both"/>
        <w:rPr>
          <w:rFonts w:ascii="Times New Roman" w:hAnsi="Times New Roman" w:cs="Times New Roman"/>
          <w:color w:val="1F497D"/>
          <w:sz w:val="24"/>
          <w:szCs w:val="24"/>
        </w:rPr>
      </w:pPr>
      <w:r w:rsidRPr="0079388F">
        <w:rPr>
          <w:rFonts w:ascii="Times New Roman" w:hAnsi="Times New Roman" w:cs="Times New Roman"/>
          <w:b/>
          <w:sz w:val="24"/>
          <w:szCs w:val="24"/>
        </w:rPr>
        <w:t>4.jautājums</w:t>
      </w:r>
      <w:r w:rsidRPr="0079388F">
        <w:rPr>
          <w:rFonts w:ascii="Times New Roman" w:hAnsi="Times New Roman" w:cs="Times New Roman"/>
          <w:sz w:val="24"/>
          <w:szCs w:val="24"/>
        </w:rPr>
        <w:t xml:space="preserve">  </w:t>
      </w:r>
      <w:r w:rsidR="00071259" w:rsidRPr="0079388F">
        <w:rPr>
          <w:rFonts w:ascii="Times New Roman" w:hAnsi="Times New Roman" w:cs="Times New Roman"/>
          <w:sz w:val="24"/>
          <w:szCs w:val="24"/>
        </w:rPr>
        <w:t>Jautājums par projekta vadības atalgojumu, vai atalgojumu var plānot, ja projekta budžets ir, piemēram, 300 000 eiro?</w:t>
      </w:r>
      <w:r w:rsidR="00071259" w:rsidRPr="0079388F">
        <w:rPr>
          <w:rFonts w:ascii="Times New Roman" w:hAnsi="Times New Roman" w:cs="Times New Roman"/>
          <w:color w:val="1F497D"/>
          <w:sz w:val="24"/>
          <w:szCs w:val="24"/>
        </w:rPr>
        <w:t xml:space="preserve"> </w:t>
      </w:r>
    </w:p>
    <w:p w:rsidR="00071259" w:rsidRPr="0079388F" w:rsidRDefault="0079388F" w:rsidP="0079388F">
      <w:pPr>
        <w:ind w:left="502"/>
        <w:jc w:val="both"/>
        <w:rPr>
          <w:lang w:eastAsia="en-US"/>
        </w:rPr>
      </w:pPr>
      <w:r w:rsidRPr="0079388F">
        <w:rPr>
          <w:b/>
        </w:rPr>
        <w:t>Atbilde:</w:t>
      </w:r>
      <w:r>
        <w:t xml:space="preserve"> </w:t>
      </w:r>
      <w:r>
        <w:rPr>
          <w:color w:val="1F497D"/>
        </w:rPr>
        <w:t xml:space="preserve"> </w:t>
      </w:r>
      <w:r w:rsidR="00071259" w:rsidRPr="0079388F">
        <w:rPr>
          <w:lang w:eastAsia="en-US"/>
        </w:rPr>
        <w:t>Projekta vadības izmaksu iekļaušanai nav saistības ar projekta budžeta kopējām izmaksām,  tās var plānot neatkarīgi kādas ir kopējās projekta  izmaksas.</w:t>
      </w:r>
    </w:p>
    <w:p w:rsidR="00071259" w:rsidRPr="0079388F" w:rsidRDefault="00071259" w:rsidP="0079388F">
      <w:pPr>
        <w:ind w:left="502"/>
        <w:jc w:val="both"/>
        <w:rPr>
          <w:lang w:eastAsia="en-US"/>
        </w:rPr>
      </w:pPr>
      <w:r w:rsidRPr="0079388F">
        <w:rPr>
          <w:lang w:eastAsia="en-US"/>
        </w:rPr>
        <w:t>Ir tikai jāievēro MK noteikumu Nr.534 22.3.apak</w:t>
      </w:r>
      <w:r w:rsidR="0079388F">
        <w:rPr>
          <w:lang w:eastAsia="en-US"/>
        </w:rPr>
        <w:t>špunktā noteiktos ierobežojumus, skat. atbildi uz 2.jautājumu.</w:t>
      </w:r>
    </w:p>
    <w:p w:rsidR="00071259" w:rsidRPr="0079388F" w:rsidRDefault="00071259" w:rsidP="00071259"/>
    <w:p w:rsidR="00071259" w:rsidRPr="0079388F" w:rsidRDefault="00071259" w:rsidP="00071259"/>
    <w:p w:rsidR="00071259" w:rsidRPr="0079388F" w:rsidRDefault="00071259" w:rsidP="00071259"/>
    <w:p w:rsidR="00675259" w:rsidRPr="0079388F" w:rsidRDefault="00675259"/>
    <w:sectPr w:rsidR="00675259" w:rsidRPr="007938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25257"/>
    <w:multiLevelType w:val="hybridMultilevel"/>
    <w:tmpl w:val="A712EB4C"/>
    <w:lvl w:ilvl="0" w:tplc="8B4C6E12">
      <w:start w:val="1"/>
      <w:numFmt w:val="decimal"/>
      <w:lvlText w:val="%1."/>
      <w:lvlJc w:val="left"/>
      <w:pPr>
        <w:ind w:left="502"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49BD1E9D"/>
    <w:multiLevelType w:val="hybridMultilevel"/>
    <w:tmpl w:val="E6D2A6D4"/>
    <w:lvl w:ilvl="0" w:tplc="37D8CFDC">
      <w:start w:val="22"/>
      <w:numFmt w:val="bullet"/>
      <w:lvlText w:val="-"/>
      <w:lvlJc w:val="left"/>
      <w:pPr>
        <w:ind w:left="862" w:hanging="360"/>
      </w:pPr>
      <w:rPr>
        <w:rFonts w:ascii="Calibri" w:eastAsia="Calibri" w:hAnsi="Calibri" w:cs="Times New Roman" w:hint="default"/>
      </w:rPr>
    </w:lvl>
    <w:lvl w:ilvl="1" w:tplc="04260003">
      <w:start w:val="1"/>
      <w:numFmt w:val="bullet"/>
      <w:lvlText w:val="o"/>
      <w:lvlJc w:val="left"/>
      <w:pPr>
        <w:ind w:left="1582" w:hanging="360"/>
      </w:pPr>
      <w:rPr>
        <w:rFonts w:ascii="Courier New" w:hAnsi="Courier New" w:cs="Courier New" w:hint="default"/>
      </w:rPr>
    </w:lvl>
    <w:lvl w:ilvl="2" w:tplc="04260005">
      <w:start w:val="1"/>
      <w:numFmt w:val="bullet"/>
      <w:lvlText w:val=""/>
      <w:lvlJc w:val="left"/>
      <w:pPr>
        <w:ind w:left="2302" w:hanging="360"/>
      </w:pPr>
      <w:rPr>
        <w:rFonts w:ascii="Wingdings" w:hAnsi="Wingdings" w:hint="default"/>
      </w:rPr>
    </w:lvl>
    <w:lvl w:ilvl="3" w:tplc="04260001">
      <w:start w:val="1"/>
      <w:numFmt w:val="bullet"/>
      <w:lvlText w:val=""/>
      <w:lvlJc w:val="left"/>
      <w:pPr>
        <w:ind w:left="3022" w:hanging="360"/>
      </w:pPr>
      <w:rPr>
        <w:rFonts w:ascii="Symbol" w:hAnsi="Symbol" w:hint="default"/>
      </w:rPr>
    </w:lvl>
    <w:lvl w:ilvl="4" w:tplc="04260003">
      <w:start w:val="1"/>
      <w:numFmt w:val="bullet"/>
      <w:lvlText w:val="o"/>
      <w:lvlJc w:val="left"/>
      <w:pPr>
        <w:ind w:left="3742" w:hanging="360"/>
      </w:pPr>
      <w:rPr>
        <w:rFonts w:ascii="Courier New" w:hAnsi="Courier New" w:cs="Courier New" w:hint="default"/>
      </w:rPr>
    </w:lvl>
    <w:lvl w:ilvl="5" w:tplc="04260005">
      <w:start w:val="1"/>
      <w:numFmt w:val="bullet"/>
      <w:lvlText w:val=""/>
      <w:lvlJc w:val="left"/>
      <w:pPr>
        <w:ind w:left="4462" w:hanging="360"/>
      </w:pPr>
      <w:rPr>
        <w:rFonts w:ascii="Wingdings" w:hAnsi="Wingdings" w:hint="default"/>
      </w:rPr>
    </w:lvl>
    <w:lvl w:ilvl="6" w:tplc="04260001">
      <w:start w:val="1"/>
      <w:numFmt w:val="bullet"/>
      <w:lvlText w:val=""/>
      <w:lvlJc w:val="left"/>
      <w:pPr>
        <w:ind w:left="5182" w:hanging="360"/>
      </w:pPr>
      <w:rPr>
        <w:rFonts w:ascii="Symbol" w:hAnsi="Symbol" w:hint="default"/>
      </w:rPr>
    </w:lvl>
    <w:lvl w:ilvl="7" w:tplc="04260003">
      <w:start w:val="1"/>
      <w:numFmt w:val="bullet"/>
      <w:lvlText w:val="o"/>
      <w:lvlJc w:val="left"/>
      <w:pPr>
        <w:ind w:left="5902" w:hanging="360"/>
      </w:pPr>
      <w:rPr>
        <w:rFonts w:ascii="Courier New" w:hAnsi="Courier New" w:cs="Courier New" w:hint="default"/>
      </w:rPr>
    </w:lvl>
    <w:lvl w:ilvl="8" w:tplc="04260005">
      <w:start w:val="1"/>
      <w:numFmt w:val="bullet"/>
      <w:lvlText w:val=""/>
      <w:lvlJc w:val="left"/>
      <w:pPr>
        <w:ind w:left="6622"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59"/>
    <w:rsid w:val="00071259"/>
    <w:rsid w:val="00157A46"/>
    <w:rsid w:val="00675259"/>
    <w:rsid w:val="0079388F"/>
    <w:rsid w:val="00834A56"/>
    <w:rsid w:val="00BE1AD9"/>
    <w:rsid w:val="00D501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E9C06-36A7-4780-9A7F-50596E9E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259"/>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1259"/>
    <w:rPr>
      <w:color w:val="0563C1"/>
      <w:u w:val="single"/>
    </w:rPr>
  </w:style>
  <w:style w:type="character" w:customStyle="1" w:styleId="ListParagraphChar">
    <w:name w:val="List Paragraph Char"/>
    <w:aliases w:val="2 Char,Strip Char,H&amp;P List Paragraph Char,List Paragraph1 Char"/>
    <w:basedOn w:val="DefaultParagraphFont"/>
    <w:link w:val="ListParagraph"/>
    <w:uiPriority w:val="34"/>
    <w:locked/>
    <w:rsid w:val="00071259"/>
  </w:style>
  <w:style w:type="paragraph" w:styleId="ListParagraph">
    <w:name w:val="List Paragraph"/>
    <w:aliases w:val="2,Strip,H&amp;P List Paragraph,List Paragraph1"/>
    <w:basedOn w:val="Normal"/>
    <w:link w:val="ListParagraphChar"/>
    <w:uiPriority w:val="34"/>
    <w:qFormat/>
    <w:rsid w:val="00071259"/>
    <w:pPr>
      <w:ind w:left="720"/>
      <w:contextualSpacing/>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23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fla.gov.lv/lv/es-fondi-2014-2020/paligs-finansejuma-sanemejiem/avansa-maksaju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7094C132</Template>
  <TotalTime>0</TotalTime>
  <Pages>3</Pages>
  <Words>3064</Words>
  <Characters>1748</Characters>
  <Application>Microsoft Office Word</Application>
  <DocSecurity>4</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Kronlaka</dc:creator>
  <cp:keywords/>
  <dc:description/>
  <cp:lastModifiedBy>Ieva Luste</cp:lastModifiedBy>
  <cp:revision>2</cp:revision>
  <dcterms:created xsi:type="dcterms:W3CDTF">2016-10-06T10:47:00Z</dcterms:created>
  <dcterms:modified xsi:type="dcterms:W3CDTF">2016-10-06T10:47:00Z</dcterms:modified>
</cp:coreProperties>
</file>