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E0" w:rsidRDefault="005428E0" w:rsidP="005428E0">
      <w:pPr>
        <w:jc w:val="both"/>
        <w:rPr>
          <w:rFonts w:ascii="Times New Roman" w:hAnsi="Times New Roman"/>
          <w:b/>
          <w:bCs/>
          <w:sz w:val="24"/>
          <w:szCs w:val="24"/>
          <w:u w:val="single"/>
        </w:rPr>
      </w:pPr>
      <w:r>
        <w:rPr>
          <w:rFonts w:ascii="Times New Roman" w:hAnsi="Times New Roman"/>
          <w:b/>
          <w:bCs/>
          <w:sz w:val="24"/>
          <w:szCs w:val="24"/>
          <w:u w:val="single"/>
        </w:rPr>
        <w:t>Skaidrojums par valsts budžeta dotācijas aprēķinu:</w:t>
      </w:r>
    </w:p>
    <w:p w:rsidR="005428E0" w:rsidRDefault="005428E0" w:rsidP="005428E0">
      <w:pPr>
        <w:jc w:val="both"/>
        <w:rPr>
          <w:rFonts w:ascii="Times New Roman" w:hAnsi="Times New Roman"/>
          <w:b/>
          <w:bCs/>
          <w:sz w:val="24"/>
          <w:szCs w:val="24"/>
          <w:u w:val="single"/>
        </w:rPr>
      </w:pPr>
    </w:p>
    <w:p w:rsidR="005428E0" w:rsidRDefault="005428E0" w:rsidP="005428E0">
      <w:pPr>
        <w:jc w:val="both"/>
        <w:rPr>
          <w:rFonts w:ascii="Times New Roman" w:hAnsi="Times New Roman"/>
          <w:sz w:val="24"/>
          <w:szCs w:val="24"/>
        </w:rPr>
      </w:pPr>
      <w:r>
        <w:rPr>
          <w:rFonts w:ascii="Times New Roman" w:hAnsi="Times New Roman"/>
          <w:sz w:val="24"/>
          <w:szCs w:val="24"/>
        </w:rPr>
        <w:t xml:space="preserve">Atgādinām, ka valsts budžeta dotāciju (turpmāk – VBD) par snieguma rezerves </w:t>
      </w:r>
      <w:proofErr w:type="spellStart"/>
      <w:r>
        <w:rPr>
          <w:rFonts w:ascii="Times New Roman" w:hAnsi="Times New Roman"/>
          <w:sz w:val="24"/>
          <w:szCs w:val="24"/>
        </w:rPr>
        <w:t>priekšfinansējumu</w:t>
      </w:r>
      <w:proofErr w:type="spellEnd"/>
      <w:r>
        <w:rPr>
          <w:rFonts w:ascii="Times New Roman" w:hAnsi="Times New Roman"/>
          <w:sz w:val="24"/>
          <w:szCs w:val="24"/>
        </w:rPr>
        <w:t xml:space="preserve"> neaprēķina, jo saskaņā ar  Ministru kabineta 2015. gada 27. janvāra noteikumu Nr. 42 “Noteikumi par kritērijiem un kārtību valsts budžeta dotācijas piešķiršanai pašvaldībām Eiropas Savienības struktūrfondu un Kohēzijas fonda 2014.–2020.gada plānošanas periodā līdzfinansēto projektu īstenošanai”  (turpmāk – MK noteikumi Nr.42) 2.punktu valsts budžeta dotāciju aprēķina no normatīvajos aktos par Eiropas Savienības fonda specifiskā atbalsta mērķa īstenošanu noteiktās </w:t>
      </w:r>
      <w:r>
        <w:rPr>
          <w:rFonts w:ascii="Times New Roman" w:hAnsi="Times New Roman"/>
          <w:b/>
          <w:bCs/>
          <w:sz w:val="24"/>
          <w:szCs w:val="24"/>
        </w:rPr>
        <w:t>nacionālā publiskā finansējuma</w:t>
      </w:r>
      <w:r>
        <w:rPr>
          <w:rFonts w:ascii="Times New Roman" w:hAnsi="Times New Roman"/>
          <w:sz w:val="24"/>
          <w:szCs w:val="24"/>
        </w:rPr>
        <w:t xml:space="preserve"> </w:t>
      </w:r>
      <w:r>
        <w:rPr>
          <w:rFonts w:ascii="Times New Roman" w:hAnsi="Times New Roman"/>
          <w:b/>
          <w:bCs/>
          <w:sz w:val="24"/>
          <w:szCs w:val="24"/>
        </w:rPr>
        <w:t>attiecināmo izmaksu daļas, ko iegulda pašvaldība</w:t>
      </w:r>
      <w:r>
        <w:rPr>
          <w:rFonts w:ascii="Times New Roman" w:hAnsi="Times New Roman"/>
          <w:sz w:val="24"/>
          <w:szCs w:val="24"/>
        </w:rPr>
        <w:t xml:space="preserve"> un kas netiek segta no projekta pašfinansēšanas rezultātā iegūtajiem līdzekļiem. </w:t>
      </w:r>
    </w:p>
    <w:p w:rsidR="005428E0" w:rsidRDefault="005428E0" w:rsidP="005428E0">
      <w:pPr>
        <w:jc w:val="both"/>
        <w:rPr>
          <w:rFonts w:ascii="Times New Roman" w:hAnsi="Times New Roman"/>
          <w:sz w:val="24"/>
          <w:szCs w:val="24"/>
        </w:rPr>
      </w:pPr>
    </w:p>
    <w:p w:rsidR="005428E0" w:rsidRDefault="005428E0" w:rsidP="005428E0">
      <w:pPr>
        <w:jc w:val="both"/>
        <w:rPr>
          <w:rFonts w:ascii="Times New Roman" w:hAnsi="Times New Roman"/>
          <w:sz w:val="24"/>
          <w:szCs w:val="24"/>
        </w:rPr>
      </w:pPr>
      <w:bookmarkStart w:id="0" w:name="_GoBack"/>
      <w:bookmarkEnd w:id="0"/>
      <w:r>
        <w:rPr>
          <w:rFonts w:ascii="Times New Roman" w:hAnsi="Times New Roman"/>
          <w:sz w:val="24"/>
          <w:szCs w:val="24"/>
        </w:rPr>
        <w:t>Savukārt snieguma rezerve var tikt segta no Eiropas Kohēzijas fonda (turpmāk – KF) līdzekļiem, līdz ar to tā nav attiecināmo izmaksu daļa, ko iegulda pašvaldība, bet gan pašvaldības finansējums, kas potenciāli tikai uz laiku aizstāj KF finansējumu. Vēršam uzmanību, ka MK noteikumu Nr. 42 10.punkts nosaka, ka lēmumu par valsts budžeta dotācijas piešķiršanu pieņem vienlaikus ar lēmumu par projekta iesnieguma apstiprināšanu un valsts budžeta dotācija ir atkarīga no projekta iesnieguma iesniegšanas brīdī aktuālā pašvaldības budžeta kapacitātes rādītāja.</w:t>
      </w:r>
    </w:p>
    <w:p w:rsidR="005428E0" w:rsidRDefault="005428E0" w:rsidP="005428E0">
      <w:pPr>
        <w:jc w:val="both"/>
        <w:rPr>
          <w:rFonts w:ascii="Times New Roman" w:hAnsi="Times New Roman"/>
          <w:sz w:val="24"/>
          <w:szCs w:val="24"/>
        </w:rPr>
      </w:pPr>
    </w:p>
    <w:p w:rsidR="005428E0" w:rsidRDefault="005428E0" w:rsidP="005428E0">
      <w:pPr>
        <w:jc w:val="both"/>
        <w:rPr>
          <w:rFonts w:ascii="Times New Roman" w:hAnsi="Times New Roman"/>
          <w:b/>
          <w:bCs/>
          <w:i/>
          <w:iCs/>
          <w:sz w:val="24"/>
          <w:szCs w:val="24"/>
          <w:u w:val="single"/>
        </w:rPr>
      </w:pPr>
      <w:r>
        <w:rPr>
          <w:rFonts w:ascii="Times New Roman" w:hAnsi="Times New Roman"/>
          <w:b/>
          <w:bCs/>
          <w:i/>
          <w:iCs/>
          <w:sz w:val="24"/>
          <w:szCs w:val="24"/>
          <w:u w:val="single"/>
        </w:rPr>
        <w:t>Piemēri valsts budžeta dotācijas aprēķinam atbilstoši MK noteikumu Nr.42 8.punktam pēc formulas:</w:t>
      </w:r>
    </w:p>
    <w:p w:rsidR="005428E0" w:rsidRDefault="005428E0" w:rsidP="005428E0">
      <w:pPr>
        <w:jc w:val="both"/>
        <w:rPr>
          <w:rFonts w:ascii="Times New Roman" w:hAnsi="Times New Roman"/>
          <w:i/>
          <w:iCs/>
          <w:sz w:val="24"/>
          <w:szCs w:val="24"/>
        </w:rPr>
      </w:pPr>
      <w:r>
        <w:rPr>
          <w:rFonts w:ascii="Times New Roman" w:hAnsi="Times New Roman"/>
          <w:b/>
          <w:bCs/>
          <w:i/>
          <w:iCs/>
          <w:sz w:val="24"/>
          <w:szCs w:val="24"/>
        </w:rPr>
        <w:t>A = B x C x D</w:t>
      </w:r>
      <w:r>
        <w:rPr>
          <w:rFonts w:ascii="Times New Roman" w:hAnsi="Times New Roman"/>
          <w:i/>
          <w:iCs/>
          <w:sz w:val="24"/>
          <w:szCs w:val="24"/>
        </w:rPr>
        <w:t>, kur</w:t>
      </w:r>
    </w:p>
    <w:p w:rsidR="005428E0" w:rsidRDefault="005428E0" w:rsidP="005428E0">
      <w:pPr>
        <w:jc w:val="both"/>
        <w:rPr>
          <w:rFonts w:ascii="Times New Roman" w:hAnsi="Times New Roman"/>
          <w:i/>
          <w:iCs/>
          <w:sz w:val="24"/>
          <w:szCs w:val="24"/>
        </w:rPr>
      </w:pPr>
      <w:r>
        <w:rPr>
          <w:rFonts w:ascii="Times New Roman" w:hAnsi="Times New Roman"/>
          <w:i/>
          <w:iCs/>
          <w:sz w:val="24"/>
          <w:szCs w:val="24"/>
        </w:rPr>
        <w:t>A – valsts budžeta dotācija, euro;</w:t>
      </w:r>
    </w:p>
    <w:p w:rsidR="005428E0" w:rsidRDefault="005428E0" w:rsidP="005428E0">
      <w:pPr>
        <w:jc w:val="both"/>
        <w:rPr>
          <w:rFonts w:ascii="Times New Roman" w:hAnsi="Times New Roman"/>
          <w:i/>
          <w:iCs/>
          <w:sz w:val="24"/>
          <w:szCs w:val="24"/>
        </w:rPr>
      </w:pPr>
      <w:r>
        <w:rPr>
          <w:rFonts w:ascii="Times New Roman" w:hAnsi="Times New Roman"/>
          <w:i/>
          <w:iCs/>
          <w:sz w:val="24"/>
          <w:szCs w:val="24"/>
        </w:rPr>
        <w:t>B – projekta iesnieguma kopējais attiecināmo izmaksu apmērs, euro; (kas šajā gadījumā ir 3 400 000 euro)</w:t>
      </w:r>
    </w:p>
    <w:p w:rsidR="005428E0" w:rsidRDefault="005428E0" w:rsidP="005428E0">
      <w:pPr>
        <w:jc w:val="both"/>
        <w:rPr>
          <w:rFonts w:ascii="Times New Roman" w:hAnsi="Times New Roman"/>
          <w:i/>
          <w:iCs/>
          <w:sz w:val="24"/>
          <w:szCs w:val="24"/>
        </w:rPr>
      </w:pPr>
      <w:r>
        <w:rPr>
          <w:rFonts w:ascii="Times New Roman" w:hAnsi="Times New Roman"/>
          <w:i/>
          <w:iCs/>
          <w:sz w:val="24"/>
          <w:szCs w:val="24"/>
        </w:rPr>
        <w:t xml:space="preserve">C – normatīvajos aktos par Eiropas Savienības fonda specifiskā atbalsta mērķa īstenošanu noteiktais nacionālā publiskā finansējuma attiecināmo izmaksu īpatsvars, procentos (kas šajā gadījumā ir pašvaldības līdzfinansējums bez snieguma rezerves </w:t>
      </w:r>
      <w:proofErr w:type="spellStart"/>
      <w:r>
        <w:rPr>
          <w:rFonts w:ascii="Times New Roman" w:hAnsi="Times New Roman"/>
          <w:i/>
          <w:iCs/>
          <w:sz w:val="24"/>
          <w:szCs w:val="24"/>
        </w:rPr>
        <w:t>priekšfinansējuma</w:t>
      </w:r>
      <w:proofErr w:type="spellEnd"/>
      <w:r>
        <w:rPr>
          <w:rFonts w:ascii="Times New Roman" w:hAnsi="Times New Roman"/>
          <w:i/>
          <w:iCs/>
          <w:sz w:val="24"/>
          <w:szCs w:val="24"/>
        </w:rPr>
        <w:t xml:space="preserve"> - 25%);</w:t>
      </w:r>
    </w:p>
    <w:p w:rsidR="005428E0" w:rsidRDefault="005428E0" w:rsidP="005428E0">
      <w:pPr>
        <w:jc w:val="both"/>
        <w:rPr>
          <w:rFonts w:ascii="Times New Roman" w:hAnsi="Times New Roman"/>
          <w:i/>
          <w:iCs/>
          <w:sz w:val="24"/>
          <w:szCs w:val="24"/>
        </w:rPr>
      </w:pPr>
      <w:r>
        <w:rPr>
          <w:rFonts w:ascii="Times New Roman" w:hAnsi="Times New Roman"/>
          <w:i/>
          <w:iCs/>
          <w:sz w:val="24"/>
          <w:szCs w:val="24"/>
        </w:rPr>
        <w:t>D – valsts budžeta dotācijas īpatsvars, procentos (kas piemērā norādīts 25% apmērā).</w:t>
      </w:r>
    </w:p>
    <w:p w:rsidR="005428E0" w:rsidRDefault="005428E0" w:rsidP="005428E0">
      <w:pPr>
        <w:jc w:val="both"/>
        <w:rPr>
          <w:rFonts w:ascii="Times New Roman" w:hAnsi="Times New Roman"/>
          <w:sz w:val="24"/>
          <w:szCs w:val="24"/>
          <w:u w:val="single"/>
        </w:rPr>
      </w:pPr>
    </w:p>
    <w:p w:rsidR="005428E0" w:rsidRDefault="005428E0" w:rsidP="005428E0">
      <w:pPr>
        <w:jc w:val="both"/>
        <w:rPr>
          <w:rFonts w:ascii="Times New Roman" w:hAnsi="Times New Roman"/>
          <w:sz w:val="24"/>
          <w:szCs w:val="24"/>
          <w:u w:val="single"/>
        </w:rPr>
      </w:pPr>
      <w:r>
        <w:rPr>
          <w:rFonts w:ascii="Times New Roman" w:hAnsi="Times New Roman"/>
          <w:sz w:val="24"/>
          <w:szCs w:val="24"/>
          <w:u w:val="single"/>
        </w:rPr>
        <w:t>Projekts, kuru plānots pabeigt līdz 2018.gada beigām un nav plānota snieguma rezerve:</w:t>
      </w:r>
    </w:p>
    <w:p w:rsidR="005428E0" w:rsidRDefault="005428E0" w:rsidP="005428E0">
      <w:pPr>
        <w:jc w:val="both"/>
        <w:rPr>
          <w:rFonts w:ascii="Times New Roman" w:hAnsi="Times New Roman"/>
          <w:sz w:val="24"/>
          <w:szCs w:val="24"/>
          <w:u w:val="single"/>
        </w:rPr>
      </w:pPr>
    </w:p>
    <w:tbl>
      <w:tblPr>
        <w:tblW w:w="0" w:type="auto"/>
        <w:tblCellMar>
          <w:left w:w="0" w:type="dxa"/>
          <w:right w:w="0" w:type="dxa"/>
        </w:tblCellMar>
        <w:tblLook w:val="04A0" w:firstRow="1" w:lastRow="0" w:firstColumn="1" w:lastColumn="0" w:noHBand="0" w:noVBand="1"/>
      </w:tblPr>
      <w:tblGrid>
        <w:gridCol w:w="4920"/>
        <w:gridCol w:w="1600"/>
        <w:gridCol w:w="2119"/>
      </w:tblGrid>
      <w:tr w:rsidR="005428E0" w:rsidTr="005428E0">
        <w:trPr>
          <w:trHeight w:val="300"/>
        </w:trPr>
        <w:tc>
          <w:tcPr>
            <w:tcW w:w="49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b/>
                <w:bCs/>
                <w:sz w:val="24"/>
                <w:szCs w:val="24"/>
              </w:rPr>
            </w:pPr>
            <w:r>
              <w:rPr>
                <w:rFonts w:ascii="Times New Roman" w:hAnsi="Times New Roman"/>
                <w:b/>
                <w:bCs/>
                <w:sz w:val="24"/>
                <w:szCs w:val="24"/>
              </w:rPr>
              <w:t>Projekta iesniedzējs</w:t>
            </w:r>
          </w:p>
        </w:tc>
        <w:tc>
          <w:tcPr>
            <w:tcW w:w="1600" w:type="dxa"/>
            <w:tcBorders>
              <w:top w:val="single" w:sz="8" w:space="0" w:color="auto"/>
              <w:left w:val="nil"/>
              <w:bottom w:val="single" w:sz="8" w:space="0" w:color="auto"/>
              <w:right w:val="single" w:sz="8" w:space="0" w:color="auto"/>
            </w:tcBorders>
          </w:tcPr>
          <w:p w:rsidR="005428E0" w:rsidRDefault="005428E0" w:rsidP="005428E0">
            <w:pPr>
              <w:jc w:val="both"/>
              <w:rPr>
                <w:rFonts w:ascii="Times New Roman" w:hAnsi="Times New Roman"/>
                <w:sz w:val="24"/>
                <w:szCs w:val="24"/>
              </w:rPr>
            </w:pPr>
          </w:p>
        </w:tc>
        <w:tc>
          <w:tcPr>
            <w:tcW w:w="211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p>
        </w:tc>
      </w:tr>
      <w:tr w:rsidR="005428E0" w:rsidTr="005428E0">
        <w:trPr>
          <w:trHeight w:val="300"/>
        </w:trPr>
        <w:tc>
          <w:tcPr>
            <w:tcW w:w="49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Projekta kopējās attiecināmās izmaksas</w:t>
            </w:r>
          </w:p>
        </w:tc>
        <w:tc>
          <w:tcPr>
            <w:tcW w:w="1600" w:type="dxa"/>
            <w:tcBorders>
              <w:top w:val="nil"/>
              <w:left w:val="nil"/>
              <w:bottom w:val="single" w:sz="8" w:space="0" w:color="auto"/>
              <w:right w:val="single" w:sz="8" w:space="0" w:color="auto"/>
            </w:tcBorders>
            <w:hideMark/>
          </w:tcPr>
          <w:p w:rsidR="005428E0" w:rsidRDefault="005428E0" w:rsidP="005428E0">
            <w:pPr>
              <w:jc w:val="both"/>
              <w:rPr>
                <w:rFonts w:ascii="Times New Roman" w:hAnsi="Times New Roman"/>
                <w:sz w:val="24"/>
                <w:szCs w:val="24"/>
              </w:rPr>
            </w:pPr>
            <w:r>
              <w:rPr>
                <w:rFonts w:ascii="Times New Roman" w:hAnsi="Times New Roman"/>
                <w:sz w:val="24"/>
                <w:szCs w:val="24"/>
              </w:rPr>
              <w:t>100.00%</w:t>
            </w:r>
          </w:p>
        </w:tc>
        <w:tc>
          <w:tcPr>
            <w:tcW w:w="2119" w:type="dxa"/>
            <w:tcBorders>
              <w:top w:val="nil"/>
              <w:left w:val="nil"/>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b/>
                <w:bCs/>
                <w:sz w:val="24"/>
                <w:szCs w:val="24"/>
              </w:rPr>
              <w:t xml:space="preserve">3 400 000.00 </w:t>
            </w:r>
            <w:r>
              <w:rPr>
                <w:rFonts w:ascii="Times New Roman" w:hAnsi="Times New Roman"/>
                <w:sz w:val="24"/>
                <w:szCs w:val="24"/>
              </w:rPr>
              <w:t>(B)</w:t>
            </w:r>
          </w:p>
        </w:tc>
      </w:tr>
      <w:tr w:rsidR="005428E0" w:rsidTr="005428E0">
        <w:trPr>
          <w:trHeight w:val="300"/>
        </w:trPr>
        <w:tc>
          <w:tcPr>
            <w:tcW w:w="49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KF</w:t>
            </w:r>
          </w:p>
        </w:tc>
        <w:tc>
          <w:tcPr>
            <w:tcW w:w="1600" w:type="dxa"/>
            <w:tcBorders>
              <w:top w:val="nil"/>
              <w:left w:val="nil"/>
              <w:bottom w:val="single" w:sz="8" w:space="0" w:color="auto"/>
              <w:right w:val="single" w:sz="8" w:space="0" w:color="auto"/>
            </w:tcBorders>
            <w:hideMark/>
          </w:tcPr>
          <w:p w:rsidR="005428E0" w:rsidRDefault="005428E0" w:rsidP="005428E0">
            <w:pPr>
              <w:jc w:val="both"/>
              <w:rPr>
                <w:rFonts w:ascii="Times New Roman" w:hAnsi="Times New Roman"/>
                <w:sz w:val="24"/>
                <w:szCs w:val="24"/>
              </w:rPr>
            </w:pPr>
            <w:r>
              <w:rPr>
                <w:rFonts w:ascii="Times New Roman" w:hAnsi="Times New Roman"/>
                <w:sz w:val="24"/>
                <w:szCs w:val="24"/>
              </w:rPr>
              <w:t>75.00%</w:t>
            </w:r>
          </w:p>
        </w:tc>
        <w:tc>
          <w:tcPr>
            <w:tcW w:w="2119" w:type="dxa"/>
            <w:tcBorders>
              <w:top w:val="nil"/>
              <w:left w:val="nil"/>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2 550 000.00</w:t>
            </w:r>
          </w:p>
        </w:tc>
      </w:tr>
      <w:tr w:rsidR="005428E0" w:rsidTr="005428E0">
        <w:trPr>
          <w:trHeight w:val="300"/>
        </w:trPr>
        <w:tc>
          <w:tcPr>
            <w:tcW w:w="49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Nacionālā publiskā finansējuma daļa (pašvaldības finansējums un valsts budžeta dotācija pašvaldībām)</w:t>
            </w:r>
          </w:p>
        </w:tc>
        <w:tc>
          <w:tcPr>
            <w:tcW w:w="1600" w:type="dxa"/>
            <w:tcBorders>
              <w:top w:val="nil"/>
              <w:left w:val="nil"/>
              <w:bottom w:val="single" w:sz="8" w:space="0" w:color="auto"/>
              <w:right w:val="single" w:sz="8" w:space="0" w:color="auto"/>
            </w:tcBorders>
            <w:hideMark/>
          </w:tcPr>
          <w:p w:rsidR="005428E0" w:rsidRDefault="005428E0" w:rsidP="005428E0">
            <w:pPr>
              <w:jc w:val="both"/>
              <w:rPr>
                <w:rFonts w:ascii="Times New Roman" w:hAnsi="Times New Roman"/>
                <w:b/>
                <w:bCs/>
                <w:sz w:val="24"/>
                <w:szCs w:val="24"/>
              </w:rPr>
            </w:pPr>
            <w:r>
              <w:rPr>
                <w:rFonts w:ascii="Times New Roman" w:hAnsi="Times New Roman"/>
                <w:b/>
                <w:bCs/>
                <w:sz w:val="24"/>
                <w:szCs w:val="24"/>
              </w:rPr>
              <w:t xml:space="preserve">25.00% </w:t>
            </w:r>
            <w:r>
              <w:rPr>
                <w:rFonts w:ascii="Times New Roman" w:hAnsi="Times New Roman"/>
                <w:sz w:val="24"/>
                <w:szCs w:val="24"/>
              </w:rPr>
              <w:t>(C)</w:t>
            </w:r>
          </w:p>
        </w:tc>
        <w:tc>
          <w:tcPr>
            <w:tcW w:w="2119" w:type="dxa"/>
            <w:tcBorders>
              <w:top w:val="nil"/>
              <w:left w:val="nil"/>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850 000.00</w:t>
            </w:r>
          </w:p>
        </w:tc>
      </w:tr>
      <w:tr w:rsidR="005428E0" w:rsidTr="005428E0">
        <w:trPr>
          <w:trHeight w:val="300"/>
        </w:trPr>
        <w:tc>
          <w:tcPr>
            <w:tcW w:w="49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Iesniedzējam VBD īpatsvars 2016.gadā</w:t>
            </w:r>
          </w:p>
        </w:tc>
        <w:tc>
          <w:tcPr>
            <w:tcW w:w="1600" w:type="dxa"/>
            <w:tcBorders>
              <w:top w:val="nil"/>
              <w:left w:val="nil"/>
              <w:bottom w:val="single" w:sz="8" w:space="0" w:color="auto"/>
              <w:right w:val="single" w:sz="8" w:space="0" w:color="auto"/>
            </w:tcBorders>
          </w:tcPr>
          <w:p w:rsidR="005428E0" w:rsidRDefault="005428E0" w:rsidP="005428E0">
            <w:pPr>
              <w:jc w:val="both"/>
              <w:rPr>
                <w:rFonts w:ascii="Times New Roman" w:hAnsi="Times New Roman"/>
                <w:b/>
                <w:bCs/>
                <w:sz w:val="24"/>
                <w:szCs w:val="24"/>
              </w:rPr>
            </w:pPr>
          </w:p>
        </w:tc>
        <w:tc>
          <w:tcPr>
            <w:tcW w:w="2119" w:type="dxa"/>
            <w:tcBorders>
              <w:top w:val="nil"/>
              <w:left w:val="nil"/>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b/>
                <w:bCs/>
                <w:sz w:val="24"/>
                <w:szCs w:val="24"/>
              </w:rPr>
              <w:t xml:space="preserve">25.00% </w:t>
            </w:r>
            <w:r>
              <w:rPr>
                <w:rFonts w:ascii="Times New Roman" w:hAnsi="Times New Roman"/>
                <w:sz w:val="24"/>
                <w:szCs w:val="24"/>
              </w:rPr>
              <w:t>(D)</w:t>
            </w:r>
          </w:p>
        </w:tc>
      </w:tr>
    </w:tbl>
    <w:p w:rsidR="005428E0" w:rsidRDefault="005428E0" w:rsidP="005428E0">
      <w:pPr>
        <w:jc w:val="both"/>
        <w:rPr>
          <w:rFonts w:ascii="Times New Roman" w:hAnsi="Times New Roman"/>
          <w:sz w:val="24"/>
          <w:szCs w:val="24"/>
        </w:rPr>
      </w:pPr>
    </w:p>
    <w:p w:rsidR="005428E0" w:rsidRDefault="005428E0" w:rsidP="005428E0">
      <w:pPr>
        <w:jc w:val="both"/>
        <w:rPr>
          <w:rFonts w:ascii="Times New Roman" w:hAnsi="Times New Roman"/>
          <w:sz w:val="24"/>
          <w:szCs w:val="24"/>
        </w:rPr>
      </w:pPr>
      <w:r>
        <w:rPr>
          <w:rFonts w:ascii="Times New Roman" w:hAnsi="Times New Roman"/>
          <w:sz w:val="24"/>
          <w:szCs w:val="24"/>
        </w:rPr>
        <w:t xml:space="preserve">Projektā KF finansējums ir 75 procenti no projekta kopējām attiecināmajām izmaksām un pašvaldībai būtu jānodrošina līdzfinansējums 25 procentu (C) apmērā no projekta kopējām attiecināmajām izmaksām. </w:t>
      </w:r>
    </w:p>
    <w:p w:rsidR="005428E0" w:rsidRDefault="005428E0" w:rsidP="005428E0">
      <w:pPr>
        <w:jc w:val="both"/>
        <w:rPr>
          <w:rFonts w:ascii="Times New Roman" w:hAnsi="Times New Roman"/>
          <w:sz w:val="24"/>
          <w:szCs w:val="24"/>
        </w:rPr>
      </w:pPr>
      <w:r>
        <w:rPr>
          <w:rFonts w:ascii="Times New Roman" w:hAnsi="Times New Roman"/>
          <w:sz w:val="24"/>
          <w:szCs w:val="24"/>
        </w:rPr>
        <w:t>VBD īpatsvars pašvaldībai ir 25 procenti (D) no projekta iesniedzēja finansējuma attiecināmo izmaksu daļas,</w:t>
      </w:r>
    </w:p>
    <w:p w:rsidR="005428E0" w:rsidRDefault="005428E0" w:rsidP="005428E0">
      <w:pPr>
        <w:jc w:val="both"/>
        <w:rPr>
          <w:rFonts w:ascii="Times New Roman" w:hAnsi="Times New Roman"/>
          <w:sz w:val="24"/>
          <w:szCs w:val="24"/>
        </w:rPr>
      </w:pPr>
      <w:r>
        <w:rPr>
          <w:rFonts w:ascii="Times New Roman" w:hAnsi="Times New Roman"/>
          <w:sz w:val="24"/>
          <w:szCs w:val="24"/>
        </w:rPr>
        <w:t xml:space="preserve">projekta kopējās attiecināmās izmaksas (B) ir 3 400 000 </w:t>
      </w:r>
      <w:r>
        <w:rPr>
          <w:rFonts w:ascii="Times New Roman" w:hAnsi="Times New Roman"/>
          <w:i/>
          <w:iCs/>
          <w:sz w:val="24"/>
          <w:szCs w:val="24"/>
        </w:rPr>
        <w:t>euro</w:t>
      </w:r>
      <w:r>
        <w:rPr>
          <w:rFonts w:ascii="Times New Roman" w:hAnsi="Times New Roman"/>
          <w:sz w:val="24"/>
          <w:szCs w:val="24"/>
        </w:rPr>
        <w:t>.</w:t>
      </w:r>
    </w:p>
    <w:p w:rsidR="005428E0" w:rsidRDefault="005428E0" w:rsidP="005428E0">
      <w:pPr>
        <w:jc w:val="both"/>
        <w:rPr>
          <w:rFonts w:ascii="Times New Roman" w:hAnsi="Times New Roman"/>
          <w:sz w:val="24"/>
          <w:szCs w:val="24"/>
        </w:rPr>
      </w:pPr>
    </w:p>
    <w:p w:rsidR="005428E0" w:rsidRDefault="005428E0" w:rsidP="005428E0">
      <w:pPr>
        <w:jc w:val="both"/>
        <w:rPr>
          <w:rFonts w:ascii="Times New Roman" w:hAnsi="Times New Roman"/>
          <w:sz w:val="24"/>
          <w:szCs w:val="24"/>
        </w:rPr>
      </w:pPr>
      <w:r>
        <w:rPr>
          <w:rFonts w:ascii="Times New Roman" w:hAnsi="Times New Roman"/>
          <w:sz w:val="24"/>
          <w:szCs w:val="24"/>
        </w:rPr>
        <w:t xml:space="preserve">VBD (A) = 3 400 000 x 25% x 25% = 850 000 x 25% = 212 500 </w:t>
      </w:r>
      <w:r>
        <w:rPr>
          <w:rFonts w:ascii="Times New Roman" w:hAnsi="Times New Roman"/>
          <w:i/>
          <w:iCs/>
          <w:sz w:val="24"/>
          <w:szCs w:val="24"/>
        </w:rPr>
        <w:t>euro.</w:t>
      </w:r>
    </w:p>
    <w:p w:rsidR="005428E0" w:rsidRDefault="005428E0" w:rsidP="005428E0">
      <w:pPr>
        <w:jc w:val="both"/>
        <w:rPr>
          <w:rFonts w:ascii="Times New Roman" w:hAnsi="Times New Roman"/>
          <w:sz w:val="24"/>
          <w:szCs w:val="24"/>
        </w:rPr>
      </w:pPr>
    </w:p>
    <w:p w:rsidR="005428E0" w:rsidRDefault="005428E0" w:rsidP="005428E0">
      <w:pPr>
        <w:jc w:val="both"/>
        <w:rPr>
          <w:rFonts w:ascii="Times New Roman" w:hAnsi="Times New Roman"/>
          <w:sz w:val="24"/>
          <w:szCs w:val="24"/>
          <w:u w:val="single"/>
        </w:rPr>
      </w:pPr>
      <w:r>
        <w:rPr>
          <w:rFonts w:ascii="Times New Roman" w:hAnsi="Times New Roman"/>
          <w:sz w:val="24"/>
          <w:szCs w:val="24"/>
          <w:u w:val="single"/>
        </w:rPr>
        <w:lastRenderedPageBreak/>
        <w:t>Projekts, kuru pabeidz 2019.gadā un vēlāk, un plānota snieguma rezerve:</w:t>
      </w:r>
    </w:p>
    <w:p w:rsidR="005428E0" w:rsidRDefault="005428E0" w:rsidP="005428E0">
      <w:pPr>
        <w:jc w:val="both"/>
        <w:rPr>
          <w:rFonts w:ascii="Times New Roman" w:hAnsi="Times New Roman"/>
          <w:sz w:val="24"/>
          <w:szCs w:val="24"/>
          <w:u w:val="single"/>
        </w:rPr>
      </w:pPr>
    </w:p>
    <w:tbl>
      <w:tblPr>
        <w:tblW w:w="0" w:type="auto"/>
        <w:tblCellMar>
          <w:left w:w="0" w:type="dxa"/>
          <w:right w:w="0" w:type="dxa"/>
        </w:tblCellMar>
        <w:tblLook w:val="04A0" w:firstRow="1" w:lastRow="0" w:firstColumn="1" w:lastColumn="0" w:noHBand="0" w:noVBand="1"/>
      </w:tblPr>
      <w:tblGrid>
        <w:gridCol w:w="4920"/>
        <w:gridCol w:w="1540"/>
        <w:gridCol w:w="2179"/>
      </w:tblGrid>
      <w:tr w:rsidR="005428E0" w:rsidTr="005428E0">
        <w:trPr>
          <w:trHeight w:val="300"/>
        </w:trPr>
        <w:tc>
          <w:tcPr>
            <w:tcW w:w="49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b/>
                <w:bCs/>
                <w:sz w:val="24"/>
                <w:szCs w:val="24"/>
              </w:rPr>
            </w:pPr>
            <w:r>
              <w:rPr>
                <w:rFonts w:ascii="Times New Roman" w:hAnsi="Times New Roman"/>
                <w:b/>
                <w:bCs/>
                <w:sz w:val="24"/>
                <w:szCs w:val="24"/>
              </w:rPr>
              <w:t>Projekta iesniedzējs</w:t>
            </w:r>
          </w:p>
        </w:tc>
        <w:tc>
          <w:tcPr>
            <w:tcW w:w="1540" w:type="dxa"/>
            <w:tcBorders>
              <w:top w:val="single" w:sz="8" w:space="0" w:color="auto"/>
              <w:left w:val="nil"/>
              <w:bottom w:val="single" w:sz="8" w:space="0" w:color="auto"/>
              <w:right w:val="single" w:sz="8" w:space="0" w:color="auto"/>
            </w:tcBorders>
          </w:tcPr>
          <w:p w:rsidR="005428E0" w:rsidRDefault="005428E0" w:rsidP="005428E0">
            <w:pPr>
              <w:jc w:val="both"/>
              <w:rPr>
                <w:rFonts w:ascii="Times New Roman" w:hAnsi="Times New Roman"/>
                <w:sz w:val="24"/>
                <w:szCs w:val="24"/>
              </w:rPr>
            </w:pPr>
          </w:p>
        </w:tc>
        <w:tc>
          <w:tcPr>
            <w:tcW w:w="217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p>
        </w:tc>
      </w:tr>
      <w:tr w:rsidR="005428E0" w:rsidTr="005428E0">
        <w:trPr>
          <w:trHeight w:val="300"/>
        </w:trPr>
        <w:tc>
          <w:tcPr>
            <w:tcW w:w="49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Projekta kopējās attiecināmās izmaksas</w:t>
            </w:r>
          </w:p>
        </w:tc>
        <w:tc>
          <w:tcPr>
            <w:tcW w:w="1540" w:type="dxa"/>
            <w:tcBorders>
              <w:top w:val="nil"/>
              <w:left w:val="nil"/>
              <w:bottom w:val="single" w:sz="8" w:space="0" w:color="auto"/>
              <w:right w:val="single" w:sz="8" w:space="0" w:color="auto"/>
            </w:tcBorders>
            <w:hideMark/>
          </w:tcPr>
          <w:p w:rsidR="005428E0" w:rsidRDefault="005428E0" w:rsidP="005428E0">
            <w:pPr>
              <w:jc w:val="both"/>
              <w:rPr>
                <w:rFonts w:ascii="Times New Roman" w:hAnsi="Times New Roman"/>
                <w:sz w:val="24"/>
                <w:szCs w:val="24"/>
              </w:rPr>
            </w:pPr>
            <w:r>
              <w:rPr>
                <w:rFonts w:ascii="Times New Roman" w:hAnsi="Times New Roman"/>
                <w:sz w:val="24"/>
                <w:szCs w:val="24"/>
              </w:rPr>
              <w:t>100.00%</w:t>
            </w:r>
          </w:p>
        </w:tc>
        <w:tc>
          <w:tcPr>
            <w:tcW w:w="2179" w:type="dxa"/>
            <w:tcBorders>
              <w:top w:val="nil"/>
              <w:left w:val="nil"/>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b/>
                <w:bCs/>
                <w:sz w:val="24"/>
                <w:szCs w:val="24"/>
              </w:rPr>
            </w:pPr>
            <w:r>
              <w:rPr>
                <w:rFonts w:ascii="Times New Roman" w:hAnsi="Times New Roman"/>
                <w:b/>
                <w:bCs/>
                <w:sz w:val="24"/>
                <w:szCs w:val="24"/>
              </w:rPr>
              <w:t xml:space="preserve">3 400 000.00 </w:t>
            </w:r>
            <w:r>
              <w:rPr>
                <w:rFonts w:ascii="Times New Roman" w:hAnsi="Times New Roman"/>
                <w:sz w:val="24"/>
                <w:szCs w:val="24"/>
              </w:rPr>
              <w:t>(B)</w:t>
            </w:r>
          </w:p>
        </w:tc>
      </w:tr>
      <w:tr w:rsidR="005428E0" w:rsidTr="005428E0">
        <w:trPr>
          <w:trHeight w:val="300"/>
        </w:trPr>
        <w:tc>
          <w:tcPr>
            <w:tcW w:w="49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KF</w:t>
            </w:r>
          </w:p>
        </w:tc>
        <w:tc>
          <w:tcPr>
            <w:tcW w:w="1540" w:type="dxa"/>
            <w:tcBorders>
              <w:top w:val="nil"/>
              <w:left w:val="nil"/>
              <w:bottom w:val="single" w:sz="8" w:space="0" w:color="auto"/>
              <w:right w:val="single" w:sz="8" w:space="0" w:color="auto"/>
            </w:tcBorders>
            <w:hideMark/>
          </w:tcPr>
          <w:p w:rsidR="005428E0" w:rsidRDefault="005428E0" w:rsidP="005428E0">
            <w:pPr>
              <w:jc w:val="both"/>
              <w:rPr>
                <w:rFonts w:ascii="Times New Roman" w:hAnsi="Times New Roman"/>
                <w:sz w:val="24"/>
                <w:szCs w:val="24"/>
              </w:rPr>
            </w:pPr>
            <w:r>
              <w:rPr>
                <w:rFonts w:ascii="Times New Roman" w:hAnsi="Times New Roman"/>
                <w:sz w:val="24"/>
                <w:szCs w:val="24"/>
              </w:rPr>
              <w:t>70.36%</w:t>
            </w:r>
          </w:p>
        </w:tc>
        <w:tc>
          <w:tcPr>
            <w:tcW w:w="2179" w:type="dxa"/>
            <w:tcBorders>
              <w:top w:val="nil"/>
              <w:left w:val="nil"/>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2 392 239.91</w:t>
            </w:r>
          </w:p>
        </w:tc>
      </w:tr>
      <w:tr w:rsidR="005428E0" w:rsidTr="005428E0">
        <w:trPr>
          <w:trHeight w:val="300"/>
        </w:trPr>
        <w:tc>
          <w:tcPr>
            <w:tcW w:w="49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Nacionālā publiskā finansējuma daļa (pašvaldības finansējums un valsts budžeta dotācija pašvaldībām)</w:t>
            </w:r>
          </w:p>
        </w:tc>
        <w:tc>
          <w:tcPr>
            <w:tcW w:w="1540" w:type="dxa"/>
            <w:tcBorders>
              <w:top w:val="nil"/>
              <w:left w:val="nil"/>
              <w:bottom w:val="single" w:sz="8" w:space="0" w:color="auto"/>
              <w:right w:val="single" w:sz="8" w:space="0" w:color="auto"/>
            </w:tcBorders>
            <w:hideMark/>
          </w:tcPr>
          <w:p w:rsidR="005428E0" w:rsidRDefault="005428E0" w:rsidP="005428E0">
            <w:pPr>
              <w:jc w:val="both"/>
              <w:rPr>
                <w:rFonts w:ascii="Times New Roman" w:hAnsi="Times New Roman"/>
                <w:b/>
                <w:bCs/>
                <w:sz w:val="24"/>
                <w:szCs w:val="24"/>
              </w:rPr>
            </w:pPr>
            <w:r>
              <w:rPr>
                <w:rFonts w:ascii="Times New Roman" w:hAnsi="Times New Roman"/>
                <w:b/>
                <w:bCs/>
                <w:sz w:val="24"/>
                <w:szCs w:val="24"/>
              </w:rPr>
              <w:t xml:space="preserve">25.00% </w:t>
            </w:r>
            <w:r>
              <w:rPr>
                <w:rFonts w:ascii="Times New Roman" w:hAnsi="Times New Roman"/>
                <w:sz w:val="24"/>
                <w:szCs w:val="24"/>
              </w:rPr>
              <w:t>(C)</w:t>
            </w:r>
          </w:p>
        </w:tc>
        <w:tc>
          <w:tcPr>
            <w:tcW w:w="2179" w:type="dxa"/>
            <w:tcBorders>
              <w:top w:val="nil"/>
              <w:left w:val="nil"/>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850 000.00</w:t>
            </w:r>
          </w:p>
        </w:tc>
      </w:tr>
      <w:tr w:rsidR="005428E0" w:rsidTr="005428E0">
        <w:trPr>
          <w:trHeight w:val="300"/>
        </w:trPr>
        <w:tc>
          <w:tcPr>
            <w:tcW w:w="49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 xml:space="preserve">Snieguma rezerves </w:t>
            </w:r>
            <w:proofErr w:type="spellStart"/>
            <w:r>
              <w:rPr>
                <w:rFonts w:ascii="Times New Roman" w:hAnsi="Times New Roman"/>
                <w:sz w:val="24"/>
                <w:szCs w:val="24"/>
              </w:rPr>
              <w:t>priekšfinansējums</w:t>
            </w:r>
            <w:proofErr w:type="spellEnd"/>
          </w:p>
        </w:tc>
        <w:tc>
          <w:tcPr>
            <w:tcW w:w="1540" w:type="dxa"/>
            <w:tcBorders>
              <w:top w:val="nil"/>
              <w:left w:val="nil"/>
              <w:bottom w:val="single" w:sz="8" w:space="0" w:color="auto"/>
              <w:right w:val="single" w:sz="8" w:space="0" w:color="auto"/>
            </w:tcBorders>
            <w:hideMark/>
          </w:tcPr>
          <w:p w:rsidR="005428E0" w:rsidRDefault="005428E0" w:rsidP="005428E0">
            <w:pPr>
              <w:jc w:val="both"/>
              <w:rPr>
                <w:rFonts w:ascii="Times New Roman" w:hAnsi="Times New Roman"/>
                <w:sz w:val="24"/>
                <w:szCs w:val="24"/>
              </w:rPr>
            </w:pPr>
            <w:r>
              <w:rPr>
                <w:rFonts w:ascii="Times New Roman" w:hAnsi="Times New Roman"/>
                <w:sz w:val="24"/>
                <w:szCs w:val="24"/>
              </w:rPr>
              <w:t>4.64%</w:t>
            </w:r>
          </w:p>
        </w:tc>
        <w:tc>
          <w:tcPr>
            <w:tcW w:w="2179" w:type="dxa"/>
            <w:tcBorders>
              <w:top w:val="nil"/>
              <w:left w:val="nil"/>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157 760.09</w:t>
            </w:r>
          </w:p>
        </w:tc>
      </w:tr>
      <w:tr w:rsidR="005428E0" w:rsidTr="005428E0">
        <w:trPr>
          <w:trHeight w:val="300"/>
        </w:trPr>
        <w:tc>
          <w:tcPr>
            <w:tcW w:w="49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sz w:val="24"/>
                <w:szCs w:val="24"/>
              </w:rPr>
            </w:pPr>
            <w:r>
              <w:rPr>
                <w:rFonts w:ascii="Times New Roman" w:hAnsi="Times New Roman"/>
                <w:sz w:val="24"/>
                <w:szCs w:val="24"/>
              </w:rPr>
              <w:t>Iesniedzējam VBD īpatsvars 2016.gadā</w:t>
            </w:r>
          </w:p>
        </w:tc>
        <w:tc>
          <w:tcPr>
            <w:tcW w:w="1540" w:type="dxa"/>
            <w:tcBorders>
              <w:top w:val="nil"/>
              <w:left w:val="nil"/>
              <w:bottom w:val="single" w:sz="8" w:space="0" w:color="auto"/>
              <w:right w:val="single" w:sz="8" w:space="0" w:color="auto"/>
            </w:tcBorders>
          </w:tcPr>
          <w:p w:rsidR="005428E0" w:rsidRDefault="005428E0" w:rsidP="005428E0">
            <w:pPr>
              <w:jc w:val="both"/>
              <w:rPr>
                <w:rFonts w:ascii="Times New Roman" w:hAnsi="Times New Roman"/>
                <w:b/>
                <w:bCs/>
                <w:sz w:val="24"/>
                <w:szCs w:val="24"/>
              </w:rPr>
            </w:pPr>
          </w:p>
        </w:tc>
        <w:tc>
          <w:tcPr>
            <w:tcW w:w="2179" w:type="dxa"/>
            <w:tcBorders>
              <w:top w:val="nil"/>
              <w:left w:val="nil"/>
              <w:bottom w:val="single" w:sz="8" w:space="0" w:color="auto"/>
              <w:right w:val="single" w:sz="8" w:space="0" w:color="auto"/>
            </w:tcBorders>
            <w:noWrap/>
            <w:tcMar>
              <w:top w:w="0" w:type="dxa"/>
              <w:left w:w="108" w:type="dxa"/>
              <w:bottom w:w="0" w:type="dxa"/>
              <w:right w:w="108" w:type="dxa"/>
            </w:tcMar>
            <w:hideMark/>
          </w:tcPr>
          <w:p w:rsidR="005428E0" w:rsidRDefault="005428E0" w:rsidP="005428E0">
            <w:pPr>
              <w:jc w:val="both"/>
              <w:rPr>
                <w:rFonts w:ascii="Times New Roman" w:hAnsi="Times New Roman"/>
                <w:b/>
                <w:bCs/>
                <w:sz w:val="24"/>
                <w:szCs w:val="24"/>
              </w:rPr>
            </w:pPr>
            <w:r>
              <w:rPr>
                <w:rFonts w:ascii="Times New Roman" w:hAnsi="Times New Roman"/>
                <w:b/>
                <w:bCs/>
                <w:sz w:val="24"/>
                <w:szCs w:val="24"/>
              </w:rPr>
              <w:t xml:space="preserve">25.00% </w:t>
            </w:r>
            <w:r>
              <w:rPr>
                <w:rFonts w:ascii="Times New Roman" w:hAnsi="Times New Roman"/>
                <w:sz w:val="24"/>
                <w:szCs w:val="24"/>
              </w:rPr>
              <w:t>(D)</w:t>
            </w:r>
          </w:p>
        </w:tc>
      </w:tr>
    </w:tbl>
    <w:p w:rsidR="005428E0" w:rsidRDefault="005428E0" w:rsidP="005428E0">
      <w:pPr>
        <w:jc w:val="both"/>
        <w:rPr>
          <w:rFonts w:ascii="Times New Roman" w:hAnsi="Times New Roman"/>
          <w:sz w:val="24"/>
          <w:szCs w:val="24"/>
        </w:rPr>
      </w:pPr>
    </w:p>
    <w:p w:rsidR="005428E0" w:rsidRDefault="005428E0" w:rsidP="005428E0">
      <w:pPr>
        <w:jc w:val="both"/>
        <w:rPr>
          <w:rFonts w:ascii="Times New Roman" w:hAnsi="Times New Roman"/>
          <w:sz w:val="24"/>
          <w:szCs w:val="24"/>
        </w:rPr>
      </w:pPr>
      <w:r>
        <w:rPr>
          <w:rFonts w:ascii="Times New Roman" w:hAnsi="Times New Roman"/>
          <w:sz w:val="24"/>
          <w:szCs w:val="24"/>
        </w:rPr>
        <w:t xml:space="preserve">Projektā kopējais KF finansējums ir 75 procenti (pieejamais KF finansējums līdz 2018.gada beigām un snieguma rezerves </w:t>
      </w:r>
      <w:proofErr w:type="spellStart"/>
      <w:r>
        <w:rPr>
          <w:rFonts w:ascii="Times New Roman" w:hAnsi="Times New Roman"/>
          <w:sz w:val="24"/>
          <w:szCs w:val="24"/>
        </w:rPr>
        <w:t>priekšfinansējums</w:t>
      </w:r>
      <w:proofErr w:type="spellEnd"/>
      <w:r>
        <w:rPr>
          <w:rFonts w:ascii="Times New Roman" w:hAnsi="Times New Roman"/>
          <w:sz w:val="24"/>
          <w:szCs w:val="24"/>
        </w:rPr>
        <w:t xml:space="preserve">, kurs pēc pozitīva EK lēmuma var kļūst par KF) no projekta kopējām attiecināmajām izmaksām un pašvaldībai būtu jānodrošina līdzfinansējums 25 procentu (C) no projekta kopējām attiecināmajām izmaksām. </w:t>
      </w:r>
    </w:p>
    <w:p w:rsidR="005428E0" w:rsidRDefault="005428E0" w:rsidP="005428E0">
      <w:pPr>
        <w:jc w:val="both"/>
        <w:rPr>
          <w:rFonts w:ascii="Times New Roman" w:hAnsi="Times New Roman"/>
          <w:sz w:val="24"/>
          <w:szCs w:val="24"/>
        </w:rPr>
      </w:pPr>
      <w:r>
        <w:rPr>
          <w:rFonts w:ascii="Times New Roman" w:hAnsi="Times New Roman"/>
          <w:sz w:val="24"/>
          <w:szCs w:val="24"/>
        </w:rPr>
        <w:t>VBD īpatsvars pašvaldībai ir 25 procenti (D) no projekta iesniedzēja finansējuma attiecināmo izmaksu daļas,</w:t>
      </w:r>
    </w:p>
    <w:p w:rsidR="005428E0" w:rsidRDefault="005428E0" w:rsidP="005428E0">
      <w:pPr>
        <w:jc w:val="both"/>
        <w:rPr>
          <w:rFonts w:ascii="Times New Roman" w:hAnsi="Times New Roman"/>
          <w:sz w:val="24"/>
          <w:szCs w:val="24"/>
        </w:rPr>
      </w:pPr>
      <w:r>
        <w:rPr>
          <w:rFonts w:ascii="Times New Roman" w:hAnsi="Times New Roman"/>
          <w:sz w:val="24"/>
          <w:szCs w:val="24"/>
        </w:rPr>
        <w:t xml:space="preserve">projekta kopējās attiecināmās izmaksas (B) ir 3 400 000 </w:t>
      </w:r>
      <w:r>
        <w:rPr>
          <w:rFonts w:ascii="Times New Roman" w:hAnsi="Times New Roman"/>
          <w:i/>
          <w:iCs/>
          <w:sz w:val="24"/>
          <w:szCs w:val="24"/>
        </w:rPr>
        <w:t>euro</w:t>
      </w:r>
      <w:r>
        <w:rPr>
          <w:rFonts w:ascii="Times New Roman" w:hAnsi="Times New Roman"/>
          <w:sz w:val="24"/>
          <w:szCs w:val="24"/>
        </w:rPr>
        <w:t>.</w:t>
      </w:r>
    </w:p>
    <w:p w:rsidR="005428E0" w:rsidRDefault="005428E0" w:rsidP="005428E0">
      <w:pPr>
        <w:jc w:val="both"/>
        <w:rPr>
          <w:rFonts w:ascii="Times New Roman" w:hAnsi="Times New Roman"/>
          <w:sz w:val="24"/>
          <w:szCs w:val="24"/>
        </w:rPr>
      </w:pPr>
    </w:p>
    <w:p w:rsidR="005428E0" w:rsidRDefault="005428E0" w:rsidP="005428E0">
      <w:pPr>
        <w:jc w:val="both"/>
        <w:rPr>
          <w:rFonts w:ascii="Times New Roman" w:hAnsi="Times New Roman"/>
          <w:sz w:val="24"/>
          <w:szCs w:val="24"/>
        </w:rPr>
      </w:pPr>
      <w:r>
        <w:rPr>
          <w:rFonts w:ascii="Times New Roman" w:hAnsi="Times New Roman"/>
          <w:sz w:val="24"/>
          <w:szCs w:val="24"/>
        </w:rPr>
        <w:t xml:space="preserve">VBD (A) = 3 400 000 x 25% x 25% = 850 000 x 25% = 212 500 </w:t>
      </w:r>
      <w:r>
        <w:rPr>
          <w:rFonts w:ascii="Times New Roman" w:hAnsi="Times New Roman"/>
          <w:i/>
          <w:iCs/>
          <w:sz w:val="24"/>
          <w:szCs w:val="24"/>
        </w:rPr>
        <w:t>euro.</w:t>
      </w:r>
    </w:p>
    <w:p w:rsidR="00F45E68" w:rsidRDefault="005428E0" w:rsidP="005428E0">
      <w:pPr>
        <w:jc w:val="both"/>
      </w:pPr>
    </w:p>
    <w:sectPr w:rsidR="00F45E68" w:rsidSect="005428E0">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E0"/>
    <w:rsid w:val="00026784"/>
    <w:rsid w:val="00047D60"/>
    <w:rsid w:val="0005239D"/>
    <w:rsid w:val="00120F49"/>
    <w:rsid w:val="00162ACE"/>
    <w:rsid w:val="002136A1"/>
    <w:rsid w:val="0029356B"/>
    <w:rsid w:val="00304689"/>
    <w:rsid w:val="00336CC0"/>
    <w:rsid w:val="003C3EF7"/>
    <w:rsid w:val="004928D2"/>
    <w:rsid w:val="00507F03"/>
    <w:rsid w:val="005100B9"/>
    <w:rsid w:val="005428E0"/>
    <w:rsid w:val="00545281"/>
    <w:rsid w:val="00562A87"/>
    <w:rsid w:val="00592AD8"/>
    <w:rsid w:val="005A0008"/>
    <w:rsid w:val="005C3E3A"/>
    <w:rsid w:val="00786A66"/>
    <w:rsid w:val="007B382F"/>
    <w:rsid w:val="007C47E0"/>
    <w:rsid w:val="007D6859"/>
    <w:rsid w:val="0081783C"/>
    <w:rsid w:val="00866ED7"/>
    <w:rsid w:val="00876804"/>
    <w:rsid w:val="009412EE"/>
    <w:rsid w:val="00987948"/>
    <w:rsid w:val="0099756D"/>
    <w:rsid w:val="00A0290B"/>
    <w:rsid w:val="00AB021A"/>
    <w:rsid w:val="00B379D8"/>
    <w:rsid w:val="00BA500C"/>
    <w:rsid w:val="00BC0444"/>
    <w:rsid w:val="00BC5CB5"/>
    <w:rsid w:val="00C72EBC"/>
    <w:rsid w:val="00C92C30"/>
    <w:rsid w:val="00C959C0"/>
    <w:rsid w:val="00D03203"/>
    <w:rsid w:val="00D22BEF"/>
    <w:rsid w:val="00D744C4"/>
    <w:rsid w:val="00E04A6A"/>
    <w:rsid w:val="00E347C4"/>
    <w:rsid w:val="00EC6AB8"/>
    <w:rsid w:val="00ED4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C6A6D-D106-48F1-9F7D-1FA65504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BE1F7005</Template>
  <TotalTime>1</TotalTime>
  <Pages>2</Pages>
  <Words>2385</Words>
  <Characters>1360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Šmite</dc:creator>
  <cp:keywords/>
  <dc:description/>
  <cp:lastModifiedBy>Kristīne Šmite</cp:lastModifiedBy>
  <cp:revision>1</cp:revision>
  <dcterms:created xsi:type="dcterms:W3CDTF">2017-09-11T12:08:00Z</dcterms:created>
  <dcterms:modified xsi:type="dcterms:W3CDTF">2017-09-11T12:09:00Z</dcterms:modified>
</cp:coreProperties>
</file>