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5829" w:rsidRPr="000E7C23" w:rsidRDefault="009F5829" w:rsidP="009F5829">
      <w:pPr>
        <w:spacing w:after="0" w:line="240" w:lineRule="auto"/>
        <w:jc w:val="both"/>
        <w:rPr>
          <w:rFonts w:ascii="Times New Roman" w:eastAsia="Calibri" w:hAnsi="Times New Roman" w:cs="Times New Roman"/>
          <w:sz w:val="24"/>
          <w:szCs w:val="24"/>
        </w:rPr>
      </w:pPr>
      <w:bookmarkStart w:id="0" w:name="_GoBack"/>
      <w:bookmarkEnd w:id="0"/>
      <w:r w:rsidRPr="000E7C23">
        <w:rPr>
          <w:rFonts w:ascii="Times New Roman" w:eastAsia="Calibri" w:hAnsi="Times New Roman" w:cs="Times New Roman"/>
          <w:sz w:val="24"/>
          <w:szCs w:val="24"/>
        </w:rPr>
        <w:t xml:space="preserve">Izdarīt Centrālās finanšu un līgumu aģentūras kā sadarbības iestādes 2017. gada </w:t>
      </w:r>
      <w:r w:rsidR="00AC760C" w:rsidRPr="000E7C23">
        <w:rPr>
          <w:rFonts w:ascii="Times New Roman" w:eastAsia="Calibri" w:hAnsi="Times New Roman" w:cs="Times New Roman"/>
          <w:sz w:val="24"/>
          <w:szCs w:val="24"/>
        </w:rPr>
        <w:t>2</w:t>
      </w:r>
      <w:r w:rsidRPr="000E7C23">
        <w:rPr>
          <w:rFonts w:ascii="Times New Roman" w:eastAsia="Calibri" w:hAnsi="Times New Roman" w:cs="Times New Roman"/>
          <w:sz w:val="24"/>
          <w:szCs w:val="24"/>
        </w:rPr>
        <w:t xml:space="preserve">. maija Darbības programmas “Izaugsme un nodarbinātība” </w:t>
      </w:r>
      <w:r w:rsidRPr="000E7C23">
        <w:rPr>
          <w:rFonts w:ascii="Times New Roman" w:eastAsia="Times New Roman" w:hAnsi="Times New Roman" w:cs="Times New Roman"/>
          <w:color w:val="000000"/>
          <w:sz w:val="24"/>
          <w:szCs w:val="24"/>
          <w:lang w:eastAsia="lv-LV"/>
        </w:rPr>
        <w:t xml:space="preserve">5.2.1. specifiskā atbalsta mērķa “Veicināt dažāda veida atkritumu atkārtotu izmantošanu, pārstrādi un reģenerāciju” 5.2.1.2. pasākuma “Atkritumu pārstrādes veicināšana” </w:t>
      </w:r>
      <w:r w:rsidRPr="000E7C23">
        <w:rPr>
          <w:rFonts w:ascii="Times New Roman" w:eastAsia="Calibri" w:hAnsi="Times New Roman" w:cs="Times New Roman"/>
          <w:sz w:val="24"/>
          <w:szCs w:val="24"/>
        </w:rPr>
        <w:t xml:space="preserve">otrās projektu iesniegumu atlases kārtas </w:t>
      </w:r>
      <w:r w:rsidRPr="000E7C23">
        <w:rPr>
          <w:rFonts w:ascii="Times New Roman" w:eastAsia="Times New Roman" w:hAnsi="Times New Roman" w:cs="Times New Roman"/>
          <w:sz w:val="24"/>
          <w:szCs w:val="24"/>
          <w:lang w:eastAsia="lv-LV"/>
        </w:rPr>
        <w:t>“Citu atkritumu veidu, kas nav sadzīves atkritumi un bioloģiski noārdāmie atkritumi, pārstrādes iekārtu izveide”</w:t>
      </w:r>
      <w:r w:rsidRPr="000E7C23">
        <w:rPr>
          <w:rFonts w:ascii="Times New Roman" w:eastAsia="Calibri" w:hAnsi="Times New Roman" w:cs="Times New Roman"/>
          <w:sz w:val="24"/>
          <w:szCs w:val="24"/>
        </w:rPr>
        <w:t xml:space="preserve"> projektu iesniegumu atlases nolikumā (turpmāk – projektu iesniegumu atlases nolikums) grozījumus, </w:t>
      </w:r>
    </w:p>
    <w:p w:rsidR="009F5829" w:rsidRPr="000E7C23" w:rsidRDefault="009F5829" w:rsidP="005C2F72">
      <w:pPr>
        <w:pStyle w:val="ListParagraph"/>
        <w:numPr>
          <w:ilvl w:val="0"/>
          <w:numId w:val="1"/>
        </w:numPr>
        <w:spacing w:before="80" w:after="0" w:line="240" w:lineRule="auto"/>
        <w:ind w:left="714" w:hanging="357"/>
        <w:jc w:val="both"/>
        <w:rPr>
          <w:rFonts w:ascii="Times New Roman" w:hAnsi="Times New Roman"/>
          <w:sz w:val="24"/>
          <w:szCs w:val="24"/>
        </w:rPr>
      </w:pPr>
      <w:r w:rsidRPr="000E7C23">
        <w:rPr>
          <w:rFonts w:ascii="Times New Roman" w:hAnsi="Times New Roman"/>
          <w:sz w:val="24"/>
          <w:szCs w:val="24"/>
        </w:rPr>
        <w:t>izsakot projektu iesniegumu atlases nolikuma 7.16. apakšpunktu šādā redakcijā:</w:t>
      </w:r>
    </w:p>
    <w:p w:rsidR="009F5829" w:rsidRPr="000E7C23" w:rsidRDefault="009F5829" w:rsidP="009F5829">
      <w:pPr>
        <w:pStyle w:val="ListParagraph"/>
        <w:spacing w:after="0" w:line="240" w:lineRule="auto"/>
        <w:jc w:val="both"/>
        <w:rPr>
          <w:rFonts w:ascii="Times New Roman" w:hAnsi="Times New Roman"/>
          <w:sz w:val="24"/>
          <w:szCs w:val="24"/>
        </w:rPr>
      </w:pPr>
      <w:r w:rsidRPr="000E7C23">
        <w:rPr>
          <w:rFonts w:ascii="Times New Roman" w:hAnsi="Times New Roman"/>
          <w:sz w:val="24"/>
        </w:rPr>
        <w:t xml:space="preserve">zaļo iepirkumu pamatojošie dokumenti </w:t>
      </w:r>
      <w:r w:rsidRPr="000E7C23">
        <w:rPr>
          <w:rFonts w:ascii="Times New Roman" w:hAnsi="Times New Roman"/>
          <w:color w:val="FF0000"/>
          <w:sz w:val="24"/>
        </w:rPr>
        <w:t>(tehniskā specifikācija</w:t>
      </w:r>
      <w:r w:rsidR="00954FDB" w:rsidRPr="000E7C23">
        <w:rPr>
          <w:rFonts w:ascii="Times New Roman" w:hAnsi="Times New Roman"/>
          <w:color w:val="FF0000"/>
          <w:sz w:val="24"/>
        </w:rPr>
        <w:t xml:space="preserve"> vai tās projekts</w:t>
      </w:r>
      <w:r w:rsidRPr="000E7C23">
        <w:rPr>
          <w:rFonts w:ascii="Times New Roman" w:hAnsi="Times New Roman"/>
          <w:color w:val="FF0000"/>
          <w:sz w:val="24"/>
        </w:rPr>
        <w:t>)</w:t>
      </w:r>
      <w:r w:rsidRPr="000E7C23">
        <w:rPr>
          <w:rFonts w:ascii="Times New Roman" w:hAnsi="Times New Roman"/>
          <w:sz w:val="24"/>
        </w:rPr>
        <w:t xml:space="preserve"> (attiecināms, ja projekta iesniedzējs pretendē uz papildu punktu kvalitātes kritērijā Nr.3.2. „Zaļā iepirkuma piemērošana (horizontālā principa “ilgtspējīga attīstība” kritērijs)”);</w:t>
      </w:r>
    </w:p>
    <w:p w:rsidR="00666F3C" w:rsidRPr="000E7C23" w:rsidRDefault="00666F3C" w:rsidP="005C2F72">
      <w:pPr>
        <w:pStyle w:val="ListParagraph"/>
        <w:numPr>
          <w:ilvl w:val="0"/>
          <w:numId w:val="1"/>
        </w:numPr>
        <w:spacing w:before="80" w:after="0" w:line="240" w:lineRule="auto"/>
        <w:ind w:left="714" w:hanging="357"/>
        <w:jc w:val="both"/>
        <w:rPr>
          <w:rFonts w:ascii="Times New Roman" w:hAnsi="Times New Roman"/>
          <w:sz w:val="24"/>
          <w:szCs w:val="24"/>
        </w:rPr>
      </w:pPr>
      <w:r w:rsidRPr="000E7C23">
        <w:rPr>
          <w:rFonts w:ascii="Times New Roman" w:hAnsi="Times New Roman"/>
          <w:sz w:val="24"/>
          <w:szCs w:val="24"/>
        </w:rPr>
        <w:t xml:space="preserve">izsakot </w:t>
      </w:r>
      <w:r w:rsidR="005C2F72" w:rsidRPr="000E7C23">
        <w:rPr>
          <w:rFonts w:ascii="Times New Roman" w:hAnsi="Times New Roman"/>
          <w:sz w:val="24"/>
          <w:szCs w:val="24"/>
        </w:rPr>
        <w:t xml:space="preserve">projektu iesniegumu atlases nolikuma </w:t>
      </w:r>
      <w:r w:rsidRPr="000E7C23">
        <w:rPr>
          <w:rFonts w:ascii="Times New Roman" w:hAnsi="Times New Roman"/>
          <w:sz w:val="24"/>
          <w:szCs w:val="24"/>
        </w:rPr>
        <w:t>4. pielikuma “Projekta iesnieguma vērtēšanas kritēriju metodika” 1.6. kritēriju šādā redakcijā:</w:t>
      </w:r>
    </w:p>
    <w:tbl>
      <w:tblPr>
        <w:tblW w:w="14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0"/>
        <w:gridCol w:w="3798"/>
        <w:gridCol w:w="1276"/>
        <w:gridCol w:w="1276"/>
        <w:gridCol w:w="7370"/>
      </w:tblGrid>
      <w:tr w:rsidR="00666F3C" w:rsidRPr="000E7C23" w:rsidTr="00AF4BE1">
        <w:trPr>
          <w:jc w:val="center"/>
        </w:trPr>
        <w:tc>
          <w:tcPr>
            <w:tcW w:w="880" w:type="dxa"/>
            <w:vMerge w:val="restart"/>
            <w:vAlign w:val="center"/>
          </w:tcPr>
          <w:p w:rsidR="00666F3C" w:rsidRPr="000E7C23" w:rsidRDefault="00666F3C" w:rsidP="007A46CB">
            <w:pPr>
              <w:contextualSpacing/>
              <w:rPr>
                <w:rFonts w:ascii="Times New Roman" w:hAnsi="Times New Roman" w:cs="Times New Roman"/>
                <w:sz w:val="24"/>
                <w:szCs w:val="24"/>
              </w:rPr>
            </w:pPr>
            <w:r w:rsidRPr="000E7C23">
              <w:rPr>
                <w:rFonts w:ascii="Times New Roman" w:hAnsi="Times New Roman" w:cs="Times New Roman"/>
                <w:sz w:val="24"/>
                <w:szCs w:val="24"/>
              </w:rPr>
              <w:t>1.6.</w:t>
            </w:r>
          </w:p>
        </w:tc>
        <w:tc>
          <w:tcPr>
            <w:tcW w:w="3798" w:type="dxa"/>
            <w:vMerge w:val="restart"/>
            <w:vAlign w:val="center"/>
          </w:tcPr>
          <w:p w:rsidR="00666F3C" w:rsidRPr="000E7C23" w:rsidRDefault="00666F3C" w:rsidP="007A46CB">
            <w:pPr>
              <w:pStyle w:val="ListParagraph"/>
              <w:ind w:left="0" w:right="175"/>
              <w:contextualSpacing/>
              <w:jc w:val="both"/>
              <w:rPr>
                <w:rFonts w:ascii="Times New Roman" w:hAnsi="Times New Roman"/>
                <w:sz w:val="24"/>
                <w:szCs w:val="24"/>
                <w:lang w:eastAsia="en-US"/>
              </w:rPr>
            </w:pPr>
            <w:r w:rsidRPr="000E7C23">
              <w:rPr>
                <w:rFonts w:ascii="Times New Roman" w:hAnsi="Times New Roman"/>
                <w:bCs/>
                <w:sz w:val="24"/>
                <w:szCs w:val="24"/>
              </w:rPr>
              <w:t xml:space="preserve">Projekta iesnieguma veidlapa ir pilnībā aizpildīta latviešu valodā atbilstoši </w:t>
            </w:r>
            <w:r w:rsidRPr="000E7C23">
              <w:rPr>
                <w:rFonts w:ascii="Times New Roman" w:hAnsi="Times New Roman"/>
                <w:color w:val="000000"/>
                <w:sz w:val="24"/>
                <w:szCs w:val="24"/>
              </w:rPr>
              <w:t>Ministru kabineta 2014.gada 16.decembra noteikumiem Nr.784 “Kārtībai, kādā Eiropas Savienības struktūrfondu un Kohēzijas fonda vadībā iesaistītās institūcijas nodrošina plānošanas dokumentu sagatavošanu un šo fondu ieviešanu 2014.–2020.gada plānošanas periodā”</w:t>
            </w:r>
            <w:r w:rsidRPr="000E7C23">
              <w:rPr>
                <w:rFonts w:ascii="Times New Roman" w:hAnsi="Times New Roman"/>
                <w:bCs/>
                <w:sz w:val="24"/>
                <w:szCs w:val="24"/>
              </w:rPr>
              <w:t xml:space="preserve"> noteiktajām prasībām, projekta iesniegumam ir pievienoti visi projektu iesniegumu atlases nolikumā noteiktie iesniedzamie dokumenti un tie ir sagatavoti latviešu valodā vai tiem ir pievienots apliecināts tulkojums latviešu valodā.</w:t>
            </w:r>
          </w:p>
        </w:tc>
        <w:tc>
          <w:tcPr>
            <w:tcW w:w="1276" w:type="dxa"/>
            <w:vMerge w:val="restart"/>
            <w:vAlign w:val="center"/>
          </w:tcPr>
          <w:p w:rsidR="00666F3C" w:rsidRPr="000E7C23" w:rsidRDefault="00666F3C" w:rsidP="007A46CB">
            <w:pPr>
              <w:pStyle w:val="ListParagraph"/>
              <w:autoSpaceDE w:val="0"/>
              <w:autoSpaceDN w:val="0"/>
              <w:adjustRightInd w:val="0"/>
              <w:ind w:left="0"/>
              <w:contextualSpacing/>
              <w:jc w:val="center"/>
              <w:rPr>
                <w:rFonts w:ascii="Times New Roman" w:hAnsi="Times New Roman"/>
                <w:sz w:val="24"/>
                <w:szCs w:val="24"/>
              </w:rPr>
            </w:pPr>
            <w:r w:rsidRPr="000E7C23">
              <w:rPr>
                <w:rFonts w:ascii="Times New Roman" w:hAnsi="Times New Roman"/>
                <w:sz w:val="24"/>
                <w:szCs w:val="24"/>
                <w:lang w:eastAsia="en-US"/>
              </w:rPr>
              <w:t>P</w:t>
            </w:r>
          </w:p>
        </w:tc>
        <w:tc>
          <w:tcPr>
            <w:tcW w:w="1276" w:type="dxa"/>
            <w:vAlign w:val="center"/>
          </w:tcPr>
          <w:p w:rsidR="00666F3C" w:rsidRPr="000E7C23" w:rsidRDefault="00666F3C" w:rsidP="007A46CB">
            <w:pPr>
              <w:jc w:val="center"/>
              <w:rPr>
                <w:rFonts w:ascii="Times New Roman" w:hAnsi="Times New Roman" w:cs="Times New Roman"/>
                <w:sz w:val="24"/>
                <w:szCs w:val="24"/>
              </w:rPr>
            </w:pPr>
            <w:r w:rsidRPr="000E7C23">
              <w:rPr>
                <w:rFonts w:ascii="Times New Roman" w:hAnsi="Times New Roman" w:cs="Times New Roman"/>
                <w:sz w:val="24"/>
                <w:szCs w:val="24"/>
              </w:rPr>
              <w:t>Jā</w:t>
            </w:r>
          </w:p>
        </w:tc>
        <w:tc>
          <w:tcPr>
            <w:tcW w:w="7370" w:type="dxa"/>
            <w:vAlign w:val="center"/>
          </w:tcPr>
          <w:p w:rsidR="00666F3C" w:rsidRPr="000E7C23" w:rsidRDefault="00666F3C" w:rsidP="007A46CB">
            <w:pPr>
              <w:pStyle w:val="ListParagraph"/>
              <w:ind w:left="0"/>
              <w:rPr>
                <w:rFonts w:ascii="Times New Roman" w:hAnsi="Times New Roman"/>
                <w:sz w:val="24"/>
                <w:szCs w:val="24"/>
                <w:lang w:eastAsia="en-US"/>
              </w:rPr>
            </w:pPr>
            <w:r w:rsidRPr="000E7C23">
              <w:rPr>
                <w:rFonts w:ascii="Times New Roman" w:hAnsi="Times New Roman"/>
                <w:b/>
                <w:sz w:val="24"/>
                <w:szCs w:val="24"/>
                <w:lang w:eastAsia="en-US"/>
              </w:rPr>
              <w:t>Projekta iesnieguma veidlapai pievienojamie dokumenti</w:t>
            </w:r>
            <w:r w:rsidRPr="000E7C23">
              <w:rPr>
                <w:rFonts w:ascii="Times New Roman" w:hAnsi="Times New Roman"/>
                <w:sz w:val="24"/>
                <w:szCs w:val="24"/>
                <w:lang w:eastAsia="en-US"/>
              </w:rPr>
              <w:t>:</w:t>
            </w:r>
          </w:p>
          <w:p w:rsidR="00666F3C" w:rsidRPr="000E7C23" w:rsidRDefault="00666F3C" w:rsidP="007A46CB">
            <w:pPr>
              <w:pStyle w:val="NoSpacing"/>
              <w:spacing w:before="120"/>
              <w:jc w:val="both"/>
              <w:rPr>
                <w:rFonts w:ascii="Times New Roman" w:hAnsi="Times New Roman"/>
                <w:color w:val="auto"/>
                <w:sz w:val="24"/>
              </w:rPr>
            </w:pPr>
            <w:r w:rsidRPr="000E7C23">
              <w:rPr>
                <w:rFonts w:ascii="Times New Roman" w:hAnsi="Times New Roman"/>
                <w:b/>
                <w:color w:val="auto"/>
                <w:sz w:val="24"/>
              </w:rPr>
              <w:t>Vērtējums ir “Jā</w:t>
            </w:r>
            <w:r w:rsidRPr="000E7C23">
              <w:rPr>
                <w:rFonts w:ascii="Times New Roman" w:hAnsi="Times New Roman"/>
                <w:color w:val="auto"/>
                <w:sz w:val="24"/>
              </w:rPr>
              <w:t>”, ja:</w:t>
            </w:r>
          </w:p>
          <w:p w:rsidR="00666F3C" w:rsidRPr="000E7C23" w:rsidRDefault="00666F3C" w:rsidP="00666F3C">
            <w:pPr>
              <w:numPr>
                <w:ilvl w:val="0"/>
                <w:numId w:val="2"/>
              </w:numPr>
              <w:autoSpaceDE w:val="0"/>
              <w:autoSpaceDN w:val="0"/>
              <w:adjustRightInd w:val="0"/>
              <w:spacing w:after="0" w:line="240" w:lineRule="auto"/>
              <w:ind w:left="262" w:hanging="262"/>
              <w:jc w:val="both"/>
              <w:rPr>
                <w:rFonts w:ascii="Times New Roman" w:hAnsi="Times New Roman" w:cs="Times New Roman"/>
                <w:sz w:val="24"/>
                <w:szCs w:val="24"/>
              </w:rPr>
            </w:pPr>
            <w:r w:rsidRPr="000E7C23">
              <w:rPr>
                <w:rFonts w:ascii="Times New Roman" w:hAnsi="Times New Roman" w:cs="Times New Roman"/>
                <w:sz w:val="24"/>
                <w:szCs w:val="24"/>
              </w:rPr>
              <w:t xml:space="preserve">projekta iesnieguma veidlapas aizpildīšanā ir izmantota veidlapa, kas pievienota projektu iesniegumu atlases nolikumam un ir atbilstoša </w:t>
            </w:r>
            <w:r w:rsidRPr="000E7C23">
              <w:rPr>
                <w:rFonts w:ascii="Times New Roman" w:hAnsi="Times New Roman" w:cs="Times New Roman"/>
                <w:bCs/>
                <w:sz w:val="24"/>
                <w:szCs w:val="24"/>
              </w:rPr>
              <w:t>Ministru kabineta 2014.gada 16.decembra noteikumiem Nr.784 “Kārtība, kādā Eiropas Savienības struktūrfondu un Kohēzijas fonda vadībā iesaistītās institūcijas nodrošina plānošanas dokumentu sagatavošanu un šo fondu ieviešanu 2014.–2020.gada plānošanas periodā” noteiktajām prasībām</w:t>
            </w:r>
            <w:r w:rsidRPr="000E7C23">
              <w:rPr>
                <w:rFonts w:ascii="Times New Roman" w:hAnsi="Times New Roman" w:cs="Times New Roman"/>
                <w:sz w:val="24"/>
                <w:szCs w:val="24"/>
              </w:rPr>
              <w:t xml:space="preserve">; </w:t>
            </w:r>
          </w:p>
          <w:p w:rsidR="00666F3C" w:rsidRPr="000E7C23" w:rsidRDefault="00666F3C" w:rsidP="00666F3C">
            <w:pPr>
              <w:numPr>
                <w:ilvl w:val="0"/>
                <w:numId w:val="2"/>
              </w:numPr>
              <w:autoSpaceDE w:val="0"/>
              <w:autoSpaceDN w:val="0"/>
              <w:adjustRightInd w:val="0"/>
              <w:spacing w:after="0" w:line="240" w:lineRule="auto"/>
              <w:ind w:left="262" w:hanging="262"/>
              <w:jc w:val="both"/>
              <w:rPr>
                <w:rFonts w:ascii="Times New Roman" w:hAnsi="Times New Roman" w:cs="Times New Roman"/>
                <w:sz w:val="24"/>
                <w:szCs w:val="24"/>
              </w:rPr>
            </w:pPr>
            <w:r w:rsidRPr="000E7C23">
              <w:rPr>
                <w:rFonts w:ascii="Times New Roman" w:hAnsi="Times New Roman" w:cs="Times New Roman"/>
                <w:sz w:val="24"/>
                <w:szCs w:val="24"/>
              </w:rPr>
              <w:t>projekta iesnieguma veidlapa un pielikumi ir sagatavoti latviešu valodā. Ja kāda no projekta iesnieguma veidlapas sadaļām vai kāds no pielikumiem ir citā valodā, tam ir pievienots Valsts valodas likumā noteiktajā kārtībā apliecināts tulkojums valsts valodā ar tulkojuma notariālu apliecinājumu, vai zvērināta tulka/tulkotāja apliecinājumu, vai tulka/tulkotāja apliecinājumu (atbilstoši normatīvajiem aktiem par kārtību, kādā apliecināmi dokumentu tulkojumi valsts valodā).</w:t>
            </w:r>
          </w:p>
          <w:p w:rsidR="00666F3C" w:rsidRPr="000E7C23" w:rsidRDefault="00666F3C" w:rsidP="00666F3C">
            <w:pPr>
              <w:numPr>
                <w:ilvl w:val="0"/>
                <w:numId w:val="2"/>
              </w:numPr>
              <w:autoSpaceDE w:val="0"/>
              <w:autoSpaceDN w:val="0"/>
              <w:adjustRightInd w:val="0"/>
              <w:spacing w:after="0" w:line="240" w:lineRule="auto"/>
              <w:ind w:left="262" w:hanging="262"/>
              <w:jc w:val="both"/>
              <w:rPr>
                <w:rFonts w:ascii="Times New Roman" w:hAnsi="Times New Roman" w:cs="Times New Roman"/>
                <w:sz w:val="24"/>
                <w:szCs w:val="24"/>
              </w:rPr>
            </w:pPr>
            <w:r w:rsidRPr="000E7C23">
              <w:rPr>
                <w:rFonts w:ascii="Times New Roman" w:hAnsi="Times New Roman" w:cs="Times New Roman"/>
                <w:sz w:val="24"/>
                <w:szCs w:val="24"/>
              </w:rPr>
              <w:t>projekta iesnieguma veidlapai ir pievienoti visi pielikumi, kas noteikti projektu iesniegumu atlases nolikumā kā iesniedzamie dokumenti:</w:t>
            </w:r>
          </w:p>
          <w:p w:rsidR="00666F3C" w:rsidRPr="000E7C23" w:rsidRDefault="00666F3C" w:rsidP="00666F3C">
            <w:pPr>
              <w:pStyle w:val="ListParagraph"/>
              <w:numPr>
                <w:ilvl w:val="0"/>
                <w:numId w:val="3"/>
              </w:numPr>
              <w:shd w:val="clear" w:color="auto" w:fill="FFFFFF"/>
              <w:spacing w:after="0" w:line="240" w:lineRule="auto"/>
              <w:ind w:left="970" w:hanging="283"/>
              <w:contextualSpacing/>
              <w:jc w:val="both"/>
              <w:rPr>
                <w:rFonts w:ascii="Times New Roman" w:hAnsi="Times New Roman"/>
                <w:sz w:val="24"/>
                <w:szCs w:val="24"/>
              </w:rPr>
            </w:pPr>
            <w:r w:rsidRPr="000E7C23">
              <w:rPr>
                <w:rFonts w:ascii="Times New Roman" w:hAnsi="Times New Roman"/>
                <w:sz w:val="24"/>
                <w:szCs w:val="24"/>
              </w:rPr>
              <w:t>1.pielikums “Projekta īstenošanas laika grafiks”;</w:t>
            </w:r>
          </w:p>
          <w:p w:rsidR="00666F3C" w:rsidRPr="000E7C23" w:rsidRDefault="00666F3C" w:rsidP="00666F3C">
            <w:pPr>
              <w:pStyle w:val="ListParagraph"/>
              <w:numPr>
                <w:ilvl w:val="0"/>
                <w:numId w:val="3"/>
              </w:numPr>
              <w:shd w:val="clear" w:color="auto" w:fill="FFFFFF"/>
              <w:spacing w:after="0" w:line="240" w:lineRule="auto"/>
              <w:ind w:left="970" w:hanging="283"/>
              <w:contextualSpacing/>
              <w:jc w:val="both"/>
              <w:rPr>
                <w:rFonts w:ascii="Times New Roman" w:hAnsi="Times New Roman"/>
                <w:sz w:val="24"/>
                <w:szCs w:val="24"/>
              </w:rPr>
            </w:pPr>
            <w:r w:rsidRPr="000E7C23">
              <w:rPr>
                <w:rFonts w:ascii="Times New Roman" w:hAnsi="Times New Roman"/>
                <w:sz w:val="24"/>
                <w:szCs w:val="24"/>
              </w:rPr>
              <w:t>2.pielikums “Finansēšanas plāns”;</w:t>
            </w:r>
          </w:p>
          <w:p w:rsidR="00666F3C" w:rsidRPr="000E7C23" w:rsidRDefault="00666F3C" w:rsidP="00666F3C">
            <w:pPr>
              <w:pStyle w:val="ListParagraph"/>
              <w:numPr>
                <w:ilvl w:val="0"/>
                <w:numId w:val="3"/>
              </w:numPr>
              <w:shd w:val="clear" w:color="auto" w:fill="FFFFFF"/>
              <w:spacing w:after="0" w:line="240" w:lineRule="auto"/>
              <w:ind w:left="970" w:hanging="283"/>
              <w:contextualSpacing/>
              <w:jc w:val="both"/>
              <w:rPr>
                <w:rFonts w:ascii="Times New Roman" w:hAnsi="Times New Roman"/>
                <w:sz w:val="24"/>
                <w:szCs w:val="24"/>
              </w:rPr>
            </w:pPr>
            <w:r w:rsidRPr="000E7C23">
              <w:rPr>
                <w:rFonts w:ascii="Times New Roman" w:hAnsi="Times New Roman"/>
                <w:sz w:val="24"/>
                <w:szCs w:val="24"/>
              </w:rPr>
              <w:t>3.pielikums “Projekta budžeta kopsavilkums”;</w:t>
            </w:r>
          </w:p>
          <w:p w:rsidR="00666F3C" w:rsidRPr="000E7C23" w:rsidRDefault="00666F3C" w:rsidP="00666F3C">
            <w:pPr>
              <w:pStyle w:val="ListParagraph"/>
              <w:numPr>
                <w:ilvl w:val="0"/>
                <w:numId w:val="3"/>
              </w:numPr>
              <w:shd w:val="clear" w:color="auto" w:fill="FFFFFF"/>
              <w:spacing w:after="0" w:line="240" w:lineRule="auto"/>
              <w:ind w:left="970" w:hanging="283"/>
              <w:contextualSpacing/>
              <w:jc w:val="both"/>
              <w:rPr>
                <w:rFonts w:ascii="Times New Roman" w:hAnsi="Times New Roman"/>
                <w:sz w:val="24"/>
                <w:szCs w:val="24"/>
              </w:rPr>
            </w:pPr>
            <w:r w:rsidRPr="000E7C23">
              <w:rPr>
                <w:rFonts w:ascii="Times New Roman" w:hAnsi="Times New Roman"/>
                <w:sz w:val="24"/>
                <w:szCs w:val="24"/>
              </w:rPr>
              <w:t>4.pielikums “Projekta izmaksu efektivitātes novērtēšana”;</w:t>
            </w:r>
          </w:p>
          <w:p w:rsidR="00666F3C" w:rsidRPr="000E7C23" w:rsidRDefault="00666F3C" w:rsidP="00666F3C">
            <w:pPr>
              <w:pStyle w:val="ListParagraph"/>
              <w:numPr>
                <w:ilvl w:val="0"/>
                <w:numId w:val="3"/>
              </w:numPr>
              <w:shd w:val="clear" w:color="auto" w:fill="FFFFFF"/>
              <w:spacing w:after="0" w:line="240" w:lineRule="auto"/>
              <w:ind w:left="970" w:hanging="283"/>
              <w:contextualSpacing/>
              <w:jc w:val="both"/>
              <w:rPr>
                <w:rFonts w:ascii="Times New Roman" w:hAnsi="Times New Roman"/>
                <w:sz w:val="24"/>
                <w:szCs w:val="24"/>
              </w:rPr>
            </w:pPr>
            <w:r w:rsidRPr="000E7C23">
              <w:rPr>
                <w:rFonts w:ascii="Times New Roman" w:hAnsi="Times New Roman"/>
                <w:sz w:val="24"/>
                <w:szCs w:val="24"/>
              </w:rPr>
              <w:t>apliecinājums par dubultā finansējuma neesamību (atbilstoši atlases nolikuma 1.pielikuma veidlapai);</w:t>
            </w:r>
          </w:p>
          <w:p w:rsidR="00666F3C" w:rsidRPr="000E7C23" w:rsidRDefault="00666F3C" w:rsidP="00666F3C">
            <w:pPr>
              <w:pStyle w:val="ListParagraph"/>
              <w:numPr>
                <w:ilvl w:val="0"/>
                <w:numId w:val="3"/>
              </w:numPr>
              <w:shd w:val="clear" w:color="auto" w:fill="FFFFFF"/>
              <w:spacing w:after="0" w:line="240" w:lineRule="auto"/>
              <w:ind w:left="970" w:hanging="283"/>
              <w:contextualSpacing/>
              <w:jc w:val="both"/>
              <w:rPr>
                <w:rFonts w:ascii="Times New Roman" w:hAnsi="Times New Roman"/>
                <w:sz w:val="24"/>
                <w:szCs w:val="24"/>
              </w:rPr>
            </w:pPr>
            <w:r w:rsidRPr="000E7C23">
              <w:rPr>
                <w:rFonts w:ascii="Times New Roman" w:hAnsi="Times New Roman"/>
                <w:sz w:val="24"/>
                <w:szCs w:val="24"/>
              </w:rPr>
              <w:lastRenderedPageBreak/>
              <w:t>pilnvara, kas apliecina pilnvarojumu parakstīt visus ar projekta iesniegumu saistītos dokumentus (ja projekta iesniegumu paraksta pilnvarota persona);</w:t>
            </w:r>
          </w:p>
          <w:p w:rsidR="00666F3C" w:rsidRPr="000E7C23" w:rsidRDefault="00666F3C" w:rsidP="00666F3C">
            <w:pPr>
              <w:pStyle w:val="ListParagraph"/>
              <w:numPr>
                <w:ilvl w:val="0"/>
                <w:numId w:val="3"/>
              </w:numPr>
              <w:shd w:val="clear" w:color="auto" w:fill="FFFFFF"/>
              <w:spacing w:after="0" w:line="240" w:lineRule="auto"/>
              <w:ind w:left="970" w:hanging="283"/>
              <w:contextualSpacing/>
              <w:jc w:val="both"/>
              <w:rPr>
                <w:rFonts w:ascii="Times New Roman" w:hAnsi="Times New Roman"/>
                <w:sz w:val="24"/>
                <w:szCs w:val="24"/>
              </w:rPr>
            </w:pPr>
            <w:r w:rsidRPr="000E7C23">
              <w:rPr>
                <w:rFonts w:ascii="Times New Roman" w:hAnsi="Times New Roman"/>
                <w:sz w:val="24"/>
                <w:szCs w:val="24"/>
              </w:rPr>
              <w:t>kartogrāfiskais materiāls, norādot projekta īstenošanas vietu un visu projekta ietvaros iegādāto materiālo aktīvu izvietojumu;</w:t>
            </w:r>
          </w:p>
          <w:p w:rsidR="00666F3C" w:rsidRPr="000E7C23" w:rsidRDefault="00666F3C" w:rsidP="00666F3C">
            <w:pPr>
              <w:pStyle w:val="ListParagraph"/>
              <w:numPr>
                <w:ilvl w:val="0"/>
                <w:numId w:val="3"/>
              </w:numPr>
              <w:spacing w:after="0" w:line="240" w:lineRule="auto"/>
              <w:ind w:left="970" w:hanging="283"/>
              <w:contextualSpacing/>
              <w:jc w:val="both"/>
              <w:rPr>
                <w:rFonts w:ascii="Times New Roman" w:hAnsi="Times New Roman"/>
                <w:sz w:val="24"/>
                <w:szCs w:val="24"/>
              </w:rPr>
            </w:pPr>
            <w:r w:rsidRPr="000E7C23">
              <w:rPr>
                <w:rFonts w:ascii="Times New Roman" w:hAnsi="Times New Roman"/>
                <w:sz w:val="24"/>
                <w:szCs w:val="24"/>
              </w:rPr>
              <w:t>iekārtas darbības apraksts, norādot darbības principus, tehnoloģiskos parametrus. Aprakstā t.sk. norāda:</w:t>
            </w:r>
          </w:p>
          <w:p w:rsidR="00666F3C" w:rsidRPr="000E7C23" w:rsidRDefault="00666F3C" w:rsidP="00666F3C">
            <w:pPr>
              <w:pStyle w:val="ListParagraph"/>
              <w:numPr>
                <w:ilvl w:val="0"/>
                <w:numId w:val="4"/>
              </w:numPr>
              <w:spacing w:after="0" w:line="240" w:lineRule="auto"/>
              <w:contextualSpacing/>
              <w:jc w:val="both"/>
              <w:rPr>
                <w:rFonts w:ascii="Times New Roman" w:hAnsi="Times New Roman"/>
                <w:sz w:val="24"/>
                <w:szCs w:val="24"/>
              </w:rPr>
            </w:pPr>
            <w:r w:rsidRPr="000E7C23">
              <w:rPr>
                <w:rFonts w:ascii="Times New Roman" w:hAnsi="Times New Roman"/>
                <w:sz w:val="24"/>
                <w:szCs w:val="24"/>
              </w:rPr>
              <w:t xml:space="preserve"> vai iekārta tiks veidota kā papildu jaudu radīšana esošai pārstrādes iekārtai, lai dažādotu produkciju ar atkritumu pārstrādes produktiem, kas līdz šim nav ražoti vai nodrošinātu būtiskas pārmaiņas vispārējā ražošanas procesā, vai tā būs jauna iekārta,</w:t>
            </w:r>
          </w:p>
          <w:p w:rsidR="00666F3C" w:rsidRPr="000E7C23" w:rsidRDefault="00666F3C" w:rsidP="00666F3C">
            <w:pPr>
              <w:pStyle w:val="ListParagraph"/>
              <w:numPr>
                <w:ilvl w:val="0"/>
                <w:numId w:val="4"/>
              </w:numPr>
              <w:spacing w:after="0" w:line="240" w:lineRule="auto"/>
              <w:contextualSpacing/>
              <w:jc w:val="both"/>
              <w:rPr>
                <w:rFonts w:ascii="Times New Roman" w:hAnsi="Times New Roman"/>
                <w:sz w:val="24"/>
                <w:szCs w:val="24"/>
              </w:rPr>
            </w:pPr>
            <w:r w:rsidRPr="000E7C23">
              <w:rPr>
                <w:rFonts w:ascii="Times New Roman" w:hAnsi="Times New Roman"/>
                <w:sz w:val="24"/>
                <w:szCs w:val="24"/>
              </w:rPr>
              <w:t>cik ilgs ir pārstrādes process,</w:t>
            </w:r>
          </w:p>
          <w:p w:rsidR="00666F3C" w:rsidRPr="000E7C23" w:rsidRDefault="00666F3C" w:rsidP="00666F3C">
            <w:pPr>
              <w:pStyle w:val="ListParagraph"/>
              <w:numPr>
                <w:ilvl w:val="0"/>
                <w:numId w:val="4"/>
              </w:numPr>
              <w:spacing w:after="0" w:line="240" w:lineRule="auto"/>
              <w:contextualSpacing/>
              <w:jc w:val="both"/>
              <w:rPr>
                <w:rFonts w:ascii="Times New Roman" w:hAnsi="Times New Roman"/>
                <w:sz w:val="24"/>
                <w:szCs w:val="24"/>
              </w:rPr>
            </w:pPr>
            <w:r w:rsidRPr="000E7C23">
              <w:rPr>
                <w:rFonts w:ascii="Times New Roman" w:hAnsi="Times New Roman"/>
                <w:sz w:val="24"/>
                <w:szCs w:val="24"/>
              </w:rPr>
              <w:t xml:space="preserve">kāda ir jauda, ar kuru plānots darbināt iekārtu projekta </w:t>
            </w:r>
            <w:proofErr w:type="spellStart"/>
            <w:r w:rsidRPr="000E7C23">
              <w:rPr>
                <w:rFonts w:ascii="Times New Roman" w:hAnsi="Times New Roman"/>
                <w:sz w:val="24"/>
                <w:szCs w:val="24"/>
              </w:rPr>
              <w:t>pēcuzraudzības</w:t>
            </w:r>
            <w:proofErr w:type="spellEnd"/>
            <w:r w:rsidRPr="000E7C23">
              <w:rPr>
                <w:rFonts w:ascii="Times New Roman" w:hAnsi="Times New Roman"/>
                <w:sz w:val="24"/>
                <w:szCs w:val="24"/>
              </w:rPr>
              <w:t xml:space="preserve"> periodā;</w:t>
            </w:r>
          </w:p>
          <w:p w:rsidR="00666F3C" w:rsidRPr="000E7C23" w:rsidRDefault="00666F3C" w:rsidP="00666F3C">
            <w:pPr>
              <w:pStyle w:val="ListParagraph"/>
              <w:numPr>
                <w:ilvl w:val="0"/>
                <w:numId w:val="4"/>
              </w:numPr>
              <w:spacing w:after="0" w:line="240" w:lineRule="auto"/>
              <w:contextualSpacing/>
              <w:jc w:val="both"/>
              <w:rPr>
                <w:rFonts w:ascii="Times New Roman" w:hAnsi="Times New Roman"/>
                <w:sz w:val="24"/>
                <w:szCs w:val="24"/>
              </w:rPr>
            </w:pPr>
            <w:r w:rsidRPr="000E7C23">
              <w:rPr>
                <w:rFonts w:ascii="Times New Roman" w:hAnsi="Times New Roman"/>
                <w:sz w:val="24"/>
                <w:szCs w:val="24"/>
              </w:rPr>
              <w:t xml:space="preserve">projekta ietvaros izbūvējamā iekārtas kompleksa un procesa aprakstu un katrā procesa posmā izmantojamo atkritumu apjomu, papildmateriālu apjomu (ja attiecināms), kā arī aptuveno atkritumu apjomu, kas nevarēs tikt izmantots pēc pārstrādes procesa un ko vajadzēs apglabāt). </w:t>
            </w:r>
            <w:r w:rsidRPr="000E7C23">
              <w:rPr>
                <w:rFonts w:ascii="Times New Roman" w:hAnsi="Times New Roman"/>
                <w:i/>
                <w:sz w:val="24"/>
                <w:szCs w:val="24"/>
              </w:rPr>
              <w:t>(Piemēram, norāda kompleksā ievedamo atkritumu apjomu, atšķiroto pārstrādājamo atkritumu apjomu, tālāk apstrādājamo (žāvējamo, smalcināmo u.tml.) atkritumu apjomu un tā masas izmaiņas pēc apstrādes (ja attiecināms), pārstrādes iekārtā ievietoto atkritumu apjomu, pievienojamo papildmateriāla apjomu, saražotās produkcijas apjomu un apglabājamo apjomu)</w:t>
            </w:r>
          </w:p>
          <w:p w:rsidR="00666F3C" w:rsidRPr="000E7C23" w:rsidRDefault="00666F3C" w:rsidP="00666F3C">
            <w:pPr>
              <w:pStyle w:val="ListParagraph"/>
              <w:numPr>
                <w:ilvl w:val="0"/>
                <w:numId w:val="4"/>
              </w:numPr>
              <w:spacing w:after="0" w:line="240" w:lineRule="auto"/>
              <w:contextualSpacing/>
              <w:jc w:val="both"/>
              <w:rPr>
                <w:rFonts w:ascii="Times New Roman" w:hAnsi="Times New Roman"/>
                <w:sz w:val="24"/>
                <w:szCs w:val="24"/>
              </w:rPr>
            </w:pPr>
            <w:r w:rsidRPr="000E7C23">
              <w:rPr>
                <w:rFonts w:ascii="Times New Roman" w:hAnsi="Times New Roman"/>
                <w:sz w:val="24"/>
                <w:szCs w:val="24"/>
              </w:rPr>
              <w:t>vai iekārtā izmantotā tehnoloģija uzskatāma par inovatīvu (ja attiecināms). Informācijas pamatā izmanto vismaz alternatīvu aprakstā iekļauto analizējamo iekārtu tehnoloģiskos risinājumus un tehnisko parametru salīdzinājumus (piemēram, tehnoloģiskā procesa galvenie raksturlielumi, pārstrādājamā materiāla un/vai galaprodukta masas un enerģijas bilance, kvalitatīvie parametri) un sniedz nepārprotamu priekšstatu par iekārtas inovatīvo raksturu;</w:t>
            </w:r>
          </w:p>
          <w:p w:rsidR="00666F3C" w:rsidRPr="000E7C23" w:rsidRDefault="00666F3C" w:rsidP="00666F3C">
            <w:pPr>
              <w:pStyle w:val="ListParagraph"/>
              <w:numPr>
                <w:ilvl w:val="0"/>
                <w:numId w:val="3"/>
              </w:numPr>
              <w:shd w:val="clear" w:color="auto" w:fill="FFFFFF"/>
              <w:spacing w:after="0" w:line="240" w:lineRule="auto"/>
              <w:ind w:left="970" w:hanging="283"/>
              <w:contextualSpacing/>
              <w:jc w:val="both"/>
              <w:rPr>
                <w:rFonts w:ascii="Times New Roman" w:hAnsi="Times New Roman"/>
                <w:sz w:val="24"/>
                <w:szCs w:val="24"/>
              </w:rPr>
            </w:pPr>
            <w:r w:rsidRPr="000E7C23">
              <w:rPr>
                <w:rFonts w:ascii="Times New Roman" w:hAnsi="Times New Roman"/>
                <w:sz w:val="24"/>
                <w:szCs w:val="24"/>
              </w:rPr>
              <w:lastRenderedPageBreak/>
              <w:t>pašvaldības lēmums par pašvaldības atbalstu projekta īstenošanai, kurā norādīts, no kādiem finanšu avotiem tiks nodrošināts līdzfinansējums, par kuru nav saņemts nekāds publisks atbalsts, ja projekta iesniedzējs ir publiski privāta kapitālsabiedrība vai pašvaldības kapitālsabiedrība;</w:t>
            </w:r>
          </w:p>
          <w:p w:rsidR="00666F3C" w:rsidRPr="000E7C23" w:rsidRDefault="00666F3C" w:rsidP="00666F3C">
            <w:pPr>
              <w:pStyle w:val="ListParagraph"/>
              <w:numPr>
                <w:ilvl w:val="0"/>
                <w:numId w:val="3"/>
              </w:numPr>
              <w:shd w:val="clear" w:color="auto" w:fill="FFFFFF"/>
              <w:spacing w:after="0" w:line="240" w:lineRule="auto"/>
              <w:ind w:left="970" w:hanging="283"/>
              <w:contextualSpacing/>
              <w:jc w:val="both"/>
              <w:rPr>
                <w:rFonts w:ascii="Times New Roman" w:hAnsi="Times New Roman"/>
                <w:sz w:val="24"/>
                <w:szCs w:val="24"/>
              </w:rPr>
            </w:pPr>
            <w:r w:rsidRPr="000E7C23">
              <w:rPr>
                <w:rFonts w:ascii="Times New Roman" w:hAnsi="Times New Roman"/>
                <w:sz w:val="24"/>
                <w:szCs w:val="24"/>
              </w:rPr>
              <w:t xml:space="preserve">projekta izdevumu un ieguvumu analīze. Izdevumu un ieguvumu analīze izstrādāta atbilstoši Vides aizsardzības un reģionālās attīstības ministrijas izstrādātajiem ieteikumiem, kas pieejami tīmekļvietnē </w:t>
            </w:r>
            <w:hyperlink r:id="rId5" w:history="1">
              <w:r w:rsidRPr="000E7C23">
                <w:rPr>
                  <w:rFonts w:ascii="Times New Roman" w:hAnsi="Times New Roman"/>
                  <w:sz w:val="24"/>
                  <w:szCs w:val="24"/>
                </w:rPr>
                <w:t>http://www.varam.gov.lv/lat/fondi/kohez/2014_2020/?doc=18639</w:t>
              </w:r>
            </w:hyperlink>
            <w:r w:rsidRPr="000E7C23">
              <w:rPr>
                <w:rFonts w:ascii="Times New Roman" w:hAnsi="Times New Roman"/>
                <w:sz w:val="24"/>
                <w:szCs w:val="24"/>
              </w:rPr>
              <w:t>;</w:t>
            </w:r>
          </w:p>
          <w:p w:rsidR="00666F3C" w:rsidRPr="000E7C23" w:rsidRDefault="00666F3C" w:rsidP="00666F3C">
            <w:pPr>
              <w:pStyle w:val="ListParagraph"/>
              <w:numPr>
                <w:ilvl w:val="0"/>
                <w:numId w:val="3"/>
              </w:numPr>
              <w:shd w:val="clear" w:color="auto" w:fill="FFFFFF"/>
              <w:spacing w:after="0" w:line="240" w:lineRule="auto"/>
              <w:ind w:left="970" w:hanging="283"/>
              <w:contextualSpacing/>
              <w:jc w:val="both"/>
              <w:rPr>
                <w:rFonts w:ascii="Times New Roman" w:hAnsi="Times New Roman"/>
                <w:sz w:val="24"/>
                <w:szCs w:val="24"/>
              </w:rPr>
            </w:pPr>
            <w:r w:rsidRPr="000E7C23">
              <w:rPr>
                <w:rFonts w:ascii="Times New Roman" w:hAnsi="Times New Roman"/>
                <w:sz w:val="24"/>
                <w:szCs w:val="24"/>
              </w:rPr>
              <w:t>alternatīvu apraksts, kas pamato atkritumu pārstrādes iekārtas izveidi tieši Latvijas Republikā, t.sk., analizējot informāciju par attiecīgā atkritumu veida apjomiem un pārstrādi vismaz visās Baltijas valstīs un pamatojot, ka plānotā iekārta neradīs pārstrādes jaudu pārpalikumu, tādējādi neveicinot apstākļus konkrētā atkritumu veida radīšanai;</w:t>
            </w:r>
          </w:p>
          <w:p w:rsidR="00666F3C" w:rsidRPr="000E7C23" w:rsidRDefault="00666F3C" w:rsidP="00666F3C">
            <w:pPr>
              <w:pStyle w:val="ListParagraph"/>
              <w:numPr>
                <w:ilvl w:val="0"/>
                <w:numId w:val="3"/>
              </w:numPr>
              <w:shd w:val="clear" w:color="auto" w:fill="FFFFFF"/>
              <w:spacing w:after="0" w:line="240" w:lineRule="auto"/>
              <w:ind w:left="970" w:hanging="283"/>
              <w:contextualSpacing/>
              <w:jc w:val="both"/>
              <w:rPr>
                <w:rFonts w:ascii="Times New Roman" w:hAnsi="Times New Roman"/>
                <w:sz w:val="24"/>
                <w:szCs w:val="24"/>
              </w:rPr>
            </w:pPr>
            <w:r w:rsidRPr="000E7C23">
              <w:rPr>
                <w:rFonts w:ascii="Times New Roman" w:hAnsi="Times New Roman"/>
                <w:sz w:val="24"/>
                <w:szCs w:val="24"/>
              </w:rPr>
              <w:t>nodomu protokols vai līgums par galaprodukta (atbilstoši kritērijam 3.14.) izmantošanu (ja attiecināms);</w:t>
            </w:r>
          </w:p>
          <w:p w:rsidR="00666F3C" w:rsidRPr="000E7C23" w:rsidRDefault="00666F3C" w:rsidP="00666F3C">
            <w:pPr>
              <w:pStyle w:val="ListParagraph"/>
              <w:numPr>
                <w:ilvl w:val="0"/>
                <w:numId w:val="3"/>
              </w:numPr>
              <w:shd w:val="clear" w:color="auto" w:fill="FFFFFF"/>
              <w:spacing w:after="0" w:line="240" w:lineRule="auto"/>
              <w:ind w:left="970" w:hanging="283"/>
              <w:contextualSpacing/>
              <w:jc w:val="both"/>
              <w:rPr>
                <w:rFonts w:ascii="Times New Roman" w:hAnsi="Times New Roman"/>
                <w:sz w:val="24"/>
                <w:szCs w:val="24"/>
              </w:rPr>
            </w:pPr>
            <w:r w:rsidRPr="000E7C23">
              <w:rPr>
                <w:rFonts w:ascii="Times New Roman" w:hAnsi="Times New Roman"/>
                <w:sz w:val="24"/>
                <w:szCs w:val="24"/>
              </w:rPr>
              <w:t>nodomu protokols vai līgums  par izejvielu (atbilstoši kritērijam 3.14.) realizēšanu (ja attiecināms);</w:t>
            </w:r>
          </w:p>
          <w:p w:rsidR="00666F3C" w:rsidRPr="000E7C23" w:rsidRDefault="00666F3C" w:rsidP="00666F3C">
            <w:pPr>
              <w:pStyle w:val="ListParagraph"/>
              <w:numPr>
                <w:ilvl w:val="0"/>
                <w:numId w:val="3"/>
              </w:numPr>
              <w:shd w:val="clear" w:color="auto" w:fill="FFFFFF"/>
              <w:spacing w:after="0" w:line="240" w:lineRule="auto"/>
              <w:ind w:left="970" w:hanging="283"/>
              <w:contextualSpacing/>
              <w:jc w:val="both"/>
              <w:rPr>
                <w:rFonts w:ascii="Times New Roman" w:hAnsi="Times New Roman"/>
                <w:sz w:val="24"/>
                <w:szCs w:val="24"/>
              </w:rPr>
            </w:pPr>
            <w:r w:rsidRPr="000E7C23">
              <w:rPr>
                <w:rFonts w:ascii="Times New Roman" w:hAnsi="Times New Roman"/>
                <w:sz w:val="24"/>
                <w:szCs w:val="24"/>
              </w:rPr>
              <w:t>būvdarbu tāme, kā arī pamatojums un pieņēmumi citām izmaksu pozīcijām (arī pakalpojumu, piegāžu līgumu gadījumos);</w:t>
            </w:r>
          </w:p>
          <w:p w:rsidR="00666F3C" w:rsidRPr="000E7C23" w:rsidRDefault="00666F3C" w:rsidP="00666F3C">
            <w:pPr>
              <w:pStyle w:val="ListParagraph"/>
              <w:numPr>
                <w:ilvl w:val="0"/>
                <w:numId w:val="3"/>
              </w:numPr>
              <w:shd w:val="clear" w:color="auto" w:fill="FFFFFF"/>
              <w:spacing w:after="0" w:line="240" w:lineRule="auto"/>
              <w:ind w:left="970" w:hanging="283"/>
              <w:contextualSpacing/>
              <w:jc w:val="both"/>
              <w:rPr>
                <w:rFonts w:ascii="Times New Roman" w:hAnsi="Times New Roman"/>
                <w:sz w:val="24"/>
                <w:szCs w:val="24"/>
              </w:rPr>
            </w:pPr>
            <w:r w:rsidRPr="000E7C23">
              <w:rPr>
                <w:rFonts w:ascii="Times New Roman" w:hAnsi="Times New Roman"/>
                <w:sz w:val="24"/>
                <w:szCs w:val="24"/>
              </w:rPr>
              <w:t>ietekmes uz vidi novērtējuma dokumenti (pievieno atbilstošo):</w:t>
            </w:r>
          </w:p>
          <w:p w:rsidR="00666F3C" w:rsidRPr="000E7C23" w:rsidRDefault="00666F3C" w:rsidP="00666F3C">
            <w:pPr>
              <w:pStyle w:val="ListParagraph"/>
              <w:numPr>
                <w:ilvl w:val="2"/>
                <w:numId w:val="2"/>
              </w:numPr>
              <w:tabs>
                <w:tab w:val="left" w:pos="0"/>
              </w:tabs>
              <w:spacing w:after="120" w:line="240" w:lineRule="auto"/>
              <w:ind w:left="1679" w:hanging="283"/>
              <w:contextualSpacing/>
              <w:jc w:val="both"/>
              <w:outlineLvl w:val="3"/>
              <w:rPr>
                <w:rFonts w:ascii="Times New Roman" w:hAnsi="Times New Roman"/>
                <w:bCs/>
                <w:sz w:val="24"/>
                <w:szCs w:val="24"/>
              </w:rPr>
            </w:pPr>
            <w:r w:rsidRPr="000E7C23">
              <w:rPr>
                <w:rFonts w:ascii="Times New Roman" w:hAnsi="Times New Roman"/>
                <w:bCs/>
                <w:sz w:val="24"/>
                <w:szCs w:val="24"/>
              </w:rPr>
              <w:t>Valsts Vides dienesta lēmums par ietekmes uz vidi novērtējuma nepiemērošanu (attiecināms, ja projekta iesnieguma veidlapas 4.sadaļas “Projekta ietekme uz vidi” 4.2.apakšpunktā ir norādīts, ka izvērtējums/novērtējums ir veikts);</w:t>
            </w:r>
          </w:p>
          <w:p w:rsidR="00666F3C" w:rsidRPr="000E7C23" w:rsidRDefault="00666F3C" w:rsidP="00666F3C">
            <w:pPr>
              <w:pStyle w:val="ListParagraph"/>
              <w:numPr>
                <w:ilvl w:val="2"/>
                <w:numId w:val="2"/>
              </w:numPr>
              <w:tabs>
                <w:tab w:val="left" w:pos="0"/>
              </w:tabs>
              <w:spacing w:after="120" w:line="240" w:lineRule="auto"/>
              <w:ind w:left="1679" w:hanging="283"/>
              <w:contextualSpacing/>
              <w:jc w:val="both"/>
              <w:outlineLvl w:val="3"/>
              <w:rPr>
                <w:rFonts w:ascii="Times New Roman" w:hAnsi="Times New Roman"/>
                <w:bCs/>
                <w:sz w:val="24"/>
                <w:szCs w:val="24"/>
              </w:rPr>
            </w:pPr>
            <w:r w:rsidRPr="000E7C23">
              <w:rPr>
                <w:rFonts w:ascii="Times New Roman" w:hAnsi="Times New Roman"/>
                <w:bCs/>
                <w:sz w:val="24"/>
                <w:szCs w:val="24"/>
              </w:rPr>
              <w:t>Vides pārraudzības valsts biroja atzinums par paredzētās darbības ietekmes uz vidi novērtējuma ziņojumu projekta iesniegumā plānotajām darbībām (attiecināms, ka projekta iesnieguma veidlapas 4.sadaļas “Projekta ietekme uz vidi” 4.2.apakšpunktā ir norādīts, ka izvērtējums/novērtējums veikts);</w:t>
            </w:r>
          </w:p>
          <w:p w:rsidR="00666F3C" w:rsidRPr="000E7C23" w:rsidRDefault="00666F3C" w:rsidP="00666F3C">
            <w:pPr>
              <w:pStyle w:val="ListParagraph"/>
              <w:numPr>
                <w:ilvl w:val="2"/>
                <w:numId w:val="2"/>
              </w:numPr>
              <w:tabs>
                <w:tab w:val="left" w:pos="0"/>
              </w:tabs>
              <w:spacing w:after="120" w:line="240" w:lineRule="auto"/>
              <w:ind w:left="1679" w:hanging="283"/>
              <w:contextualSpacing/>
              <w:jc w:val="both"/>
              <w:outlineLvl w:val="3"/>
              <w:rPr>
                <w:rFonts w:ascii="Times New Roman" w:hAnsi="Times New Roman"/>
                <w:bCs/>
                <w:sz w:val="24"/>
                <w:szCs w:val="24"/>
              </w:rPr>
            </w:pPr>
            <w:r w:rsidRPr="000E7C23">
              <w:rPr>
                <w:rFonts w:ascii="Times New Roman" w:hAnsi="Times New Roman"/>
                <w:bCs/>
                <w:sz w:val="24"/>
                <w:szCs w:val="24"/>
              </w:rPr>
              <w:lastRenderedPageBreak/>
              <w:t>projekta iesniedzēja sagatavots skaidrojums  par to, kamdēļ projektā paredzētajām darbībām nav nepieciešams sākotnējā ietekmes uz vidi izvērtējums, kas balstīts uz normatīvajos aktos noteiktajiem nosacījumiem par to, kādām darbībām šāds izvērtējums nepieciešams;</w:t>
            </w:r>
          </w:p>
          <w:p w:rsidR="00666F3C" w:rsidRPr="000E7C23" w:rsidRDefault="00666F3C" w:rsidP="00666F3C">
            <w:pPr>
              <w:pStyle w:val="ListParagraph"/>
              <w:numPr>
                <w:ilvl w:val="0"/>
                <w:numId w:val="3"/>
              </w:numPr>
              <w:shd w:val="clear" w:color="auto" w:fill="FFFFFF"/>
              <w:spacing w:after="0" w:line="240" w:lineRule="auto"/>
              <w:ind w:left="970" w:hanging="283"/>
              <w:contextualSpacing/>
              <w:jc w:val="both"/>
              <w:rPr>
                <w:rFonts w:ascii="Times New Roman" w:hAnsi="Times New Roman"/>
                <w:sz w:val="24"/>
                <w:szCs w:val="24"/>
              </w:rPr>
            </w:pPr>
            <w:r w:rsidRPr="000E7C23">
              <w:rPr>
                <w:rFonts w:ascii="Times New Roman" w:hAnsi="Times New Roman"/>
                <w:sz w:val="24"/>
                <w:szCs w:val="24"/>
              </w:rPr>
              <w:t xml:space="preserve">zaļo iepirkumu pamatojošie dokumenti </w:t>
            </w:r>
            <w:r w:rsidRPr="000E7C23">
              <w:rPr>
                <w:rFonts w:ascii="Times New Roman" w:hAnsi="Times New Roman"/>
                <w:color w:val="FF0000"/>
                <w:sz w:val="24"/>
                <w:szCs w:val="24"/>
              </w:rPr>
              <w:t>(tehniskā specifikācija</w:t>
            </w:r>
            <w:r w:rsidR="00954FDB" w:rsidRPr="000E7C23">
              <w:rPr>
                <w:rFonts w:ascii="Times New Roman" w:hAnsi="Times New Roman"/>
                <w:color w:val="FF0000"/>
                <w:sz w:val="24"/>
                <w:szCs w:val="24"/>
              </w:rPr>
              <w:t xml:space="preserve"> vai tās projekts</w:t>
            </w:r>
            <w:r w:rsidRPr="000E7C23">
              <w:rPr>
                <w:rFonts w:ascii="Times New Roman" w:hAnsi="Times New Roman"/>
                <w:color w:val="FF0000"/>
                <w:sz w:val="24"/>
                <w:szCs w:val="24"/>
              </w:rPr>
              <w:t>)</w:t>
            </w:r>
            <w:r w:rsidRPr="000E7C23">
              <w:rPr>
                <w:rFonts w:ascii="Times New Roman" w:hAnsi="Times New Roman"/>
                <w:sz w:val="24"/>
                <w:szCs w:val="24"/>
              </w:rPr>
              <w:t xml:space="preserve"> (attiecināms, ja projekta iesniedzējs pretendē uz papildu punktu kvalitātes kritērijā Nr.3.2. „</w:t>
            </w:r>
            <w:r w:rsidRPr="000E7C23">
              <w:rPr>
                <w:rFonts w:ascii="Times New Roman" w:hAnsi="Times New Roman"/>
                <w:color w:val="000000"/>
                <w:sz w:val="24"/>
                <w:szCs w:val="24"/>
              </w:rPr>
              <w:t>Zaļā iepirkuma piemērošana (horizontālā principa “ilgtspējīga attīstība” kritērijs)</w:t>
            </w:r>
            <w:r w:rsidRPr="000E7C23">
              <w:rPr>
                <w:rFonts w:ascii="Times New Roman" w:hAnsi="Times New Roman"/>
                <w:sz w:val="24"/>
                <w:szCs w:val="24"/>
              </w:rPr>
              <w:t>”);</w:t>
            </w:r>
          </w:p>
          <w:p w:rsidR="00666F3C" w:rsidRPr="000E7C23" w:rsidRDefault="00666F3C" w:rsidP="00666F3C">
            <w:pPr>
              <w:pStyle w:val="ListParagraph"/>
              <w:numPr>
                <w:ilvl w:val="0"/>
                <w:numId w:val="3"/>
              </w:numPr>
              <w:shd w:val="clear" w:color="auto" w:fill="FFFFFF"/>
              <w:spacing w:after="0" w:line="240" w:lineRule="auto"/>
              <w:ind w:left="970" w:hanging="283"/>
              <w:contextualSpacing/>
              <w:jc w:val="both"/>
              <w:rPr>
                <w:rFonts w:ascii="Times New Roman" w:hAnsi="Times New Roman"/>
                <w:sz w:val="24"/>
                <w:szCs w:val="24"/>
              </w:rPr>
            </w:pPr>
            <w:r w:rsidRPr="000E7C23">
              <w:rPr>
                <w:rFonts w:ascii="Times New Roman" w:hAnsi="Times New Roman"/>
                <w:sz w:val="24"/>
                <w:szCs w:val="24"/>
              </w:rPr>
              <w:t>projekta iesniedzēja apliecinājums par tiesībām veikt būvdarbus zemesgabalos, kur projekta ietvaros paredzēti būvdarbi, ko pierāda īpašumtiesības vai apbūves tiesības, ko apliecina atbilstošs ieraksts zemesgrāmatā (ja projekta iesnieguma iesniegšanas dienā projekta iesniedzējs var apliecināt īpašumtiesības vai ir līgums par apbūves tiesībām) (ja attiecināms) vai apliecinājums par šādu tiesību iegūšanu līdz pirmā maksājuma iesniegšanas dienai sadarbības iestādē. Ja no projekta iesniedzēja apliecinājumā sniegtās informācijas konstatējams, ka  tiesības veikt būvdarbus uz attiecīgā zemesgabala iegūtas līdz 2016.gada 31.decembrim, par attiecināmu uzskatāms arī nomas līgums. Ja publiski pieejamajās datu bāzēs (zemesgramata.lv) projekta iesnieguma iesniegšanas dienā nav pieejama informācija, kas apliecina tiesības veikt būvdarbus, projekta iesniegumam pievieno attiecīgos dokumentus. Īpašumtiesības vai apbūves tiesības nodrošināmas līdz pirmā maksājuma iesniegšanas dienai sadarbības iestādē, ja to nevar apliecināt projekta iesnieguma iesniegšanas dienā;</w:t>
            </w:r>
          </w:p>
          <w:p w:rsidR="00666F3C" w:rsidRPr="000E7C23" w:rsidRDefault="00666F3C" w:rsidP="00666F3C">
            <w:pPr>
              <w:pStyle w:val="ListParagraph"/>
              <w:numPr>
                <w:ilvl w:val="0"/>
                <w:numId w:val="3"/>
              </w:numPr>
              <w:shd w:val="clear" w:color="auto" w:fill="FFFFFF"/>
              <w:spacing w:after="0" w:line="240" w:lineRule="auto"/>
              <w:ind w:left="970" w:hanging="283"/>
              <w:contextualSpacing/>
              <w:jc w:val="both"/>
              <w:rPr>
                <w:rFonts w:ascii="Times New Roman" w:hAnsi="Times New Roman"/>
                <w:sz w:val="24"/>
                <w:szCs w:val="24"/>
              </w:rPr>
            </w:pPr>
            <w:r w:rsidRPr="000E7C23">
              <w:rPr>
                <w:rFonts w:ascii="Times New Roman" w:hAnsi="Times New Roman"/>
                <w:sz w:val="24"/>
                <w:szCs w:val="24"/>
              </w:rPr>
              <w:t>tās pašvaldības apliecinājums (izziņa), kuras administratīvajā teritorijā plānota pārstrādes iekārtas izveide, ka paredzētā darbība atbilst pašvaldības teritorijas plānojumam;</w:t>
            </w:r>
          </w:p>
          <w:p w:rsidR="00666F3C" w:rsidRPr="000E7C23" w:rsidRDefault="00666F3C" w:rsidP="00666F3C">
            <w:pPr>
              <w:pStyle w:val="ListParagraph"/>
              <w:numPr>
                <w:ilvl w:val="0"/>
                <w:numId w:val="3"/>
              </w:numPr>
              <w:spacing w:after="0" w:line="240" w:lineRule="auto"/>
              <w:ind w:left="970" w:hanging="283"/>
              <w:contextualSpacing/>
              <w:jc w:val="both"/>
              <w:rPr>
                <w:rFonts w:ascii="Times New Roman" w:hAnsi="Times New Roman"/>
                <w:sz w:val="24"/>
                <w:szCs w:val="24"/>
              </w:rPr>
            </w:pPr>
            <w:r w:rsidRPr="000E7C23">
              <w:rPr>
                <w:rFonts w:ascii="Times New Roman" w:hAnsi="Times New Roman"/>
                <w:bCs/>
                <w:sz w:val="24"/>
                <w:szCs w:val="24"/>
              </w:rPr>
              <w:t xml:space="preserve">projekta iesniedzēja izziņa par ar modernizējamo darbību saistīto aktīvu amortizāciju (informācija no pamatlīdzekļu uzskaites kartītēm) iepriekšējo triju finanšu gadu laikā (iesniedz, ja sākotnējie ieguldījumi plānoti būtiskām pārmaiņām ražošanas </w:t>
            </w:r>
            <w:r w:rsidRPr="000E7C23">
              <w:rPr>
                <w:rFonts w:ascii="Times New Roman" w:hAnsi="Times New Roman"/>
                <w:bCs/>
                <w:sz w:val="24"/>
                <w:szCs w:val="24"/>
              </w:rPr>
              <w:lastRenderedPageBreak/>
              <w:t>procesā atbilstoši MK noteikumu 42.punktā minētajam). Izziņa tiek sagatavota saskaņā ar pamatlīdzekļu uzskaites kartītēs sniegto informāciju, ko pēc pieprasījuma iesniedz Centrālajā finanšu un līgumu aģentūrā projekta izvērtēšanai;</w:t>
            </w:r>
          </w:p>
          <w:p w:rsidR="00666F3C" w:rsidRPr="000E7C23" w:rsidRDefault="00666F3C" w:rsidP="00666F3C">
            <w:pPr>
              <w:pStyle w:val="ListParagraph"/>
              <w:numPr>
                <w:ilvl w:val="0"/>
                <w:numId w:val="3"/>
              </w:numPr>
              <w:shd w:val="clear" w:color="auto" w:fill="FFFFFF"/>
              <w:spacing w:after="0" w:line="240" w:lineRule="auto"/>
              <w:ind w:left="970" w:hanging="283"/>
              <w:contextualSpacing/>
              <w:jc w:val="both"/>
              <w:rPr>
                <w:rFonts w:ascii="Times New Roman" w:hAnsi="Times New Roman"/>
                <w:sz w:val="24"/>
                <w:szCs w:val="24"/>
              </w:rPr>
            </w:pPr>
            <w:r w:rsidRPr="000E7C23">
              <w:rPr>
                <w:rFonts w:ascii="Times New Roman" w:hAnsi="Times New Roman"/>
                <w:bCs/>
                <w:sz w:val="24"/>
                <w:szCs w:val="24"/>
              </w:rPr>
              <w:t>projekta iesniedzēja izziņa par atkārtoti izmantoto aktīvu uzskaites vērtību (informācija no pamatlīdzekļu uzskaites kartītēm), kas reģistrēta iepriekšējā finanšu gadā pirms darbu sākšanas (iesniedz, ja sākotnējie ieguldījumi plānoti uzņēmuma produkcijas dažādošanai atbilstoši MK noteikumu 43.punktā minētajam). Izziņa tiek sagatavota saskaņā ar pamatlīdzekļu uzskaites kartītēs sniegto informāciju, ko pēc pieprasījuma iesniedz Centrālajā finanšu un līgumu aģentūrā projekta izvērtēšanai;</w:t>
            </w:r>
          </w:p>
          <w:p w:rsidR="00666F3C" w:rsidRPr="000E7C23" w:rsidRDefault="00666F3C" w:rsidP="00666F3C">
            <w:pPr>
              <w:pStyle w:val="ListParagraph"/>
              <w:numPr>
                <w:ilvl w:val="0"/>
                <w:numId w:val="3"/>
              </w:numPr>
              <w:shd w:val="clear" w:color="auto" w:fill="FFFFFF"/>
              <w:spacing w:after="0" w:line="240" w:lineRule="auto"/>
              <w:ind w:left="970" w:hanging="283"/>
              <w:contextualSpacing/>
              <w:jc w:val="both"/>
              <w:rPr>
                <w:rFonts w:ascii="Times New Roman" w:hAnsi="Times New Roman"/>
                <w:sz w:val="24"/>
                <w:szCs w:val="24"/>
              </w:rPr>
            </w:pPr>
            <w:r w:rsidRPr="000E7C23">
              <w:rPr>
                <w:rFonts w:ascii="Times New Roman" w:hAnsi="Times New Roman"/>
                <w:sz w:val="24"/>
                <w:szCs w:val="24"/>
              </w:rPr>
              <w:t>projekta iesniedzēja apliecinājums par valsts atbalsta nosacījumu  ievērošanu (7.pielikums).</w:t>
            </w:r>
          </w:p>
        </w:tc>
      </w:tr>
      <w:tr w:rsidR="00666F3C" w:rsidRPr="000E7C23" w:rsidTr="00AF4BE1">
        <w:trPr>
          <w:jc w:val="center"/>
        </w:trPr>
        <w:tc>
          <w:tcPr>
            <w:tcW w:w="880" w:type="dxa"/>
            <w:vMerge/>
            <w:vAlign w:val="center"/>
          </w:tcPr>
          <w:p w:rsidR="00666F3C" w:rsidRPr="000E7C23" w:rsidRDefault="00666F3C" w:rsidP="007A46CB">
            <w:pPr>
              <w:contextualSpacing/>
              <w:rPr>
                <w:rFonts w:ascii="Times New Roman" w:hAnsi="Times New Roman" w:cs="Times New Roman"/>
                <w:sz w:val="24"/>
                <w:szCs w:val="24"/>
              </w:rPr>
            </w:pPr>
          </w:p>
        </w:tc>
        <w:tc>
          <w:tcPr>
            <w:tcW w:w="3798" w:type="dxa"/>
            <w:vMerge/>
            <w:vAlign w:val="center"/>
          </w:tcPr>
          <w:p w:rsidR="00666F3C" w:rsidRPr="000E7C23" w:rsidRDefault="00666F3C" w:rsidP="007A46CB">
            <w:pPr>
              <w:pStyle w:val="ListParagraph"/>
              <w:ind w:left="0" w:right="175"/>
              <w:contextualSpacing/>
              <w:jc w:val="both"/>
              <w:rPr>
                <w:rFonts w:ascii="Times New Roman" w:hAnsi="Times New Roman"/>
                <w:bCs/>
                <w:sz w:val="24"/>
                <w:szCs w:val="24"/>
              </w:rPr>
            </w:pPr>
          </w:p>
        </w:tc>
        <w:tc>
          <w:tcPr>
            <w:tcW w:w="1276" w:type="dxa"/>
            <w:vMerge/>
            <w:vAlign w:val="center"/>
          </w:tcPr>
          <w:p w:rsidR="00666F3C" w:rsidRPr="000E7C23" w:rsidRDefault="00666F3C" w:rsidP="007A46CB">
            <w:pPr>
              <w:pStyle w:val="ListParagraph"/>
              <w:autoSpaceDE w:val="0"/>
              <w:autoSpaceDN w:val="0"/>
              <w:adjustRightInd w:val="0"/>
              <w:ind w:left="0"/>
              <w:contextualSpacing/>
              <w:jc w:val="center"/>
              <w:rPr>
                <w:rFonts w:ascii="Times New Roman" w:hAnsi="Times New Roman"/>
                <w:sz w:val="24"/>
                <w:szCs w:val="24"/>
                <w:lang w:eastAsia="en-US"/>
              </w:rPr>
            </w:pPr>
          </w:p>
        </w:tc>
        <w:tc>
          <w:tcPr>
            <w:tcW w:w="1276" w:type="dxa"/>
            <w:vAlign w:val="center"/>
          </w:tcPr>
          <w:p w:rsidR="00666F3C" w:rsidRPr="000E7C23" w:rsidRDefault="00666F3C" w:rsidP="007A46CB">
            <w:pPr>
              <w:jc w:val="center"/>
              <w:rPr>
                <w:rFonts w:ascii="Times New Roman" w:hAnsi="Times New Roman" w:cs="Times New Roman"/>
                <w:sz w:val="24"/>
                <w:szCs w:val="24"/>
              </w:rPr>
            </w:pPr>
            <w:r w:rsidRPr="000E7C23">
              <w:rPr>
                <w:rFonts w:ascii="Times New Roman" w:hAnsi="Times New Roman" w:cs="Times New Roman"/>
                <w:sz w:val="24"/>
                <w:szCs w:val="24"/>
              </w:rPr>
              <w:t>Jā, ar nosacījumu</w:t>
            </w:r>
          </w:p>
        </w:tc>
        <w:tc>
          <w:tcPr>
            <w:tcW w:w="7370" w:type="dxa"/>
            <w:vAlign w:val="center"/>
          </w:tcPr>
          <w:p w:rsidR="00666F3C" w:rsidRPr="000E7C23" w:rsidRDefault="00666F3C" w:rsidP="007A46CB">
            <w:pPr>
              <w:pStyle w:val="ListParagraph"/>
              <w:autoSpaceDE w:val="0"/>
              <w:autoSpaceDN w:val="0"/>
              <w:adjustRightInd w:val="0"/>
              <w:ind w:left="0"/>
              <w:jc w:val="both"/>
              <w:rPr>
                <w:rFonts w:ascii="Times New Roman" w:hAnsi="Times New Roman"/>
                <w:sz w:val="24"/>
                <w:szCs w:val="24"/>
              </w:rPr>
            </w:pPr>
            <w:r w:rsidRPr="000E7C23">
              <w:rPr>
                <w:rFonts w:ascii="Times New Roman" w:hAnsi="Times New Roman"/>
                <w:sz w:val="24"/>
                <w:szCs w:val="24"/>
              </w:rPr>
              <w:t>Ja projekta iesniegumā norādītā informācija un/vai pievienotie pielikumi neatbilst minētajām prasībām vai kāds no pielikumiem nav pievienots, projekta iesniegumu novērtē ar „</w:t>
            </w:r>
            <w:r w:rsidRPr="000E7C23">
              <w:rPr>
                <w:rFonts w:ascii="Times New Roman" w:hAnsi="Times New Roman"/>
                <w:b/>
                <w:sz w:val="24"/>
                <w:szCs w:val="24"/>
              </w:rPr>
              <w:t>Jā, ar nosacījumu</w:t>
            </w:r>
            <w:r w:rsidRPr="000E7C23">
              <w:rPr>
                <w:rFonts w:ascii="Times New Roman" w:hAnsi="Times New Roman"/>
                <w:sz w:val="24"/>
                <w:szCs w:val="24"/>
              </w:rPr>
              <w:t>” un izvirza attiecīgu nosacījumu trūkumu novēršanai.</w:t>
            </w:r>
          </w:p>
        </w:tc>
      </w:tr>
      <w:tr w:rsidR="00666F3C" w:rsidRPr="000E7C23" w:rsidTr="00AF4BE1">
        <w:trPr>
          <w:jc w:val="center"/>
        </w:trPr>
        <w:tc>
          <w:tcPr>
            <w:tcW w:w="880" w:type="dxa"/>
            <w:vMerge/>
            <w:vAlign w:val="center"/>
          </w:tcPr>
          <w:p w:rsidR="00666F3C" w:rsidRPr="000E7C23" w:rsidRDefault="00666F3C" w:rsidP="007A46CB">
            <w:pPr>
              <w:contextualSpacing/>
              <w:rPr>
                <w:rFonts w:ascii="Times New Roman" w:hAnsi="Times New Roman" w:cs="Times New Roman"/>
                <w:sz w:val="24"/>
                <w:szCs w:val="24"/>
              </w:rPr>
            </w:pPr>
          </w:p>
        </w:tc>
        <w:tc>
          <w:tcPr>
            <w:tcW w:w="3798" w:type="dxa"/>
            <w:vMerge/>
            <w:vAlign w:val="center"/>
          </w:tcPr>
          <w:p w:rsidR="00666F3C" w:rsidRPr="000E7C23" w:rsidRDefault="00666F3C" w:rsidP="007A46CB">
            <w:pPr>
              <w:pStyle w:val="ListParagraph"/>
              <w:ind w:left="0" w:right="175"/>
              <w:contextualSpacing/>
              <w:jc w:val="both"/>
              <w:rPr>
                <w:rFonts w:ascii="Times New Roman" w:hAnsi="Times New Roman"/>
                <w:bCs/>
                <w:sz w:val="24"/>
                <w:szCs w:val="24"/>
              </w:rPr>
            </w:pPr>
          </w:p>
        </w:tc>
        <w:tc>
          <w:tcPr>
            <w:tcW w:w="1276" w:type="dxa"/>
            <w:vMerge/>
            <w:vAlign w:val="center"/>
          </w:tcPr>
          <w:p w:rsidR="00666F3C" w:rsidRPr="000E7C23" w:rsidRDefault="00666F3C" w:rsidP="007A46CB">
            <w:pPr>
              <w:pStyle w:val="ListParagraph"/>
              <w:autoSpaceDE w:val="0"/>
              <w:autoSpaceDN w:val="0"/>
              <w:adjustRightInd w:val="0"/>
              <w:ind w:left="0"/>
              <w:contextualSpacing/>
              <w:jc w:val="center"/>
              <w:rPr>
                <w:rFonts w:ascii="Times New Roman" w:hAnsi="Times New Roman"/>
                <w:sz w:val="24"/>
                <w:szCs w:val="24"/>
                <w:lang w:eastAsia="en-US"/>
              </w:rPr>
            </w:pPr>
          </w:p>
        </w:tc>
        <w:tc>
          <w:tcPr>
            <w:tcW w:w="1276" w:type="dxa"/>
            <w:vAlign w:val="center"/>
          </w:tcPr>
          <w:p w:rsidR="00666F3C" w:rsidRPr="000E7C23" w:rsidRDefault="00666F3C" w:rsidP="007A46CB">
            <w:pPr>
              <w:jc w:val="center"/>
              <w:rPr>
                <w:rFonts w:ascii="Times New Roman" w:hAnsi="Times New Roman" w:cs="Times New Roman"/>
                <w:sz w:val="24"/>
                <w:szCs w:val="24"/>
              </w:rPr>
            </w:pPr>
            <w:r w:rsidRPr="000E7C23">
              <w:rPr>
                <w:rFonts w:ascii="Times New Roman" w:hAnsi="Times New Roman" w:cs="Times New Roman"/>
                <w:sz w:val="24"/>
                <w:szCs w:val="24"/>
              </w:rPr>
              <w:t>Nē</w:t>
            </w:r>
          </w:p>
        </w:tc>
        <w:tc>
          <w:tcPr>
            <w:tcW w:w="7370" w:type="dxa"/>
            <w:vAlign w:val="center"/>
          </w:tcPr>
          <w:p w:rsidR="00666F3C" w:rsidRPr="000E7C23" w:rsidRDefault="00666F3C" w:rsidP="00522D8B">
            <w:pPr>
              <w:pStyle w:val="ListParagraph"/>
              <w:spacing w:after="0"/>
              <w:ind w:left="0"/>
              <w:jc w:val="both"/>
              <w:rPr>
                <w:rFonts w:ascii="Times New Roman" w:hAnsi="Times New Roman"/>
                <w:sz w:val="24"/>
                <w:szCs w:val="24"/>
                <w:lang w:eastAsia="en-US"/>
              </w:rPr>
            </w:pPr>
            <w:r w:rsidRPr="000E7C23">
              <w:rPr>
                <w:rFonts w:ascii="Times New Roman" w:hAnsi="Times New Roman"/>
                <w:b/>
                <w:sz w:val="24"/>
                <w:szCs w:val="24"/>
              </w:rPr>
              <w:t>Vērtējums ir “Nē”</w:t>
            </w:r>
            <w:r w:rsidRPr="000E7C23">
              <w:rPr>
                <w:rFonts w:ascii="Times New Roman" w:hAnsi="Times New Roman"/>
                <w:sz w:val="24"/>
                <w:szCs w:val="24"/>
              </w:rPr>
              <w:t>, ja projekta iesniedzējs neizpilda lēmumā par projekta iesnieguma apstiprināšanu ar nosacījumiem ietvertos nosacījumus vai pēc nosacījumu izpildes joprojām neatbilst izvirzītajām prasībām, vai arī nosacījumus neizpilda lēmumā par projekta iesnieguma apstiprināšanu ar nosacījumiem noteiktajā termiņā.</w:t>
            </w:r>
          </w:p>
        </w:tc>
      </w:tr>
    </w:tbl>
    <w:p w:rsidR="005A0B03" w:rsidRPr="000E7C23" w:rsidRDefault="005A0B03">
      <w:pPr>
        <w:rPr>
          <w:rFonts w:ascii="Times New Roman" w:hAnsi="Times New Roman" w:cs="Times New Roman"/>
        </w:rPr>
      </w:pPr>
    </w:p>
    <w:p w:rsidR="000E7C23" w:rsidRPr="000E7C23" w:rsidRDefault="000E7C23" w:rsidP="000E7C23">
      <w:pPr>
        <w:pStyle w:val="ListParagraph"/>
        <w:numPr>
          <w:ilvl w:val="0"/>
          <w:numId w:val="1"/>
        </w:numPr>
        <w:rPr>
          <w:rFonts w:ascii="Times New Roman" w:hAnsi="Times New Roman"/>
          <w:sz w:val="24"/>
          <w:szCs w:val="24"/>
        </w:rPr>
      </w:pPr>
      <w:r w:rsidRPr="000E7C23">
        <w:rPr>
          <w:rFonts w:ascii="Times New Roman" w:hAnsi="Times New Roman"/>
          <w:sz w:val="24"/>
          <w:szCs w:val="24"/>
        </w:rPr>
        <w:t>izsakot projektu iesniegumu atlases nolikuma 4. pielikuma “Projekta iesnieguma vērtēšanas kritēriju metodika” 1.18. kritēriju šādā redakcijā:</w:t>
      </w:r>
    </w:p>
    <w:tbl>
      <w:tblPr>
        <w:tblW w:w="150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0"/>
        <w:gridCol w:w="3798"/>
        <w:gridCol w:w="1276"/>
        <w:gridCol w:w="1276"/>
        <w:gridCol w:w="7796"/>
      </w:tblGrid>
      <w:tr w:rsidR="000E7C23" w:rsidRPr="000E7C23" w:rsidTr="007A38B5">
        <w:trPr>
          <w:jc w:val="center"/>
        </w:trPr>
        <w:tc>
          <w:tcPr>
            <w:tcW w:w="880" w:type="dxa"/>
            <w:vMerge w:val="restart"/>
            <w:vAlign w:val="center"/>
          </w:tcPr>
          <w:p w:rsidR="000E7C23" w:rsidRPr="000E7C23" w:rsidRDefault="000E7C23" w:rsidP="000E7C23">
            <w:pPr>
              <w:spacing w:after="0" w:line="240" w:lineRule="auto"/>
              <w:rPr>
                <w:rFonts w:ascii="Times New Roman" w:eastAsia="Times New Roman" w:hAnsi="Times New Roman" w:cs="Times New Roman"/>
                <w:sz w:val="24"/>
                <w:szCs w:val="24"/>
                <w:lang w:eastAsia="lv-LV"/>
              </w:rPr>
            </w:pPr>
            <w:r w:rsidRPr="000E7C23">
              <w:rPr>
                <w:rFonts w:ascii="Times New Roman" w:eastAsia="Times New Roman" w:hAnsi="Times New Roman" w:cs="Times New Roman"/>
                <w:sz w:val="24"/>
                <w:szCs w:val="24"/>
                <w:lang w:eastAsia="lv-LV"/>
              </w:rPr>
              <w:t>1.18.</w:t>
            </w:r>
          </w:p>
        </w:tc>
        <w:tc>
          <w:tcPr>
            <w:tcW w:w="3798" w:type="dxa"/>
            <w:vMerge w:val="restart"/>
            <w:vAlign w:val="center"/>
          </w:tcPr>
          <w:p w:rsidR="000E7C23" w:rsidRPr="000E7C23" w:rsidRDefault="000E7C23" w:rsidP="000E7C23">
            <w:pPr>
              <w:spacing w:after="0" w:line="240" w:lineRule="auto"/>
              <w:ind w:right="175"/>
              <w:jc w:val="both"/>
              <w:rPr>
                <w:rFonts w:ascii="Times New Roman" w:eastAsia="Times New Roman" w:hAnsi="Times New Roman" w:cs="Times New Roman"/>
                <w:sz w:val="24"/>
                <w:szCs w:val="24"/>
              </w:rPr>
            </w:pPr>
            <w:r w:rsidRPr="000E7C23">
              <w:rPr>
                <w:rFonts w:ascii="Times New Roman" w:eastAsia="Times New Roman" w:hAnsi="Times New Roman" w:cs="Times New Roman"/>
                <w:color w:val="000000"/>
                <w:sz w:val="24"/>
                <w:szCs w:val="24"/>
                <w:lang w:eastAsia="x-none"/>
              </w:rPr>
              <w:t xml:space="preserve">Projekta iesniedzējs nav grūtībās nonācis saimnieciskās darbības veicējs, kā arī tas neatbilst grūtībās nonākuša saimnieciskās darbības veicēja pazīmēm saskaņā ar MK </w:t>
            </w:r>
            <w:r w:rsidRPr="000E7C23">
              <w:rPr>
                <w:rFonts w:ascii="Times New Roman" w:eastAsia="Times New Roman" w:hAnsi="Times New Roman" w:cs="Times New Roman"/>
                <w:color w:val="000000"/>
                <w:sz w:val="24"/>
                <w:szCs w:val="24"/>
                <w:lang w:eastAsia="x-none"/>
              </w:rPr>
              <w:lastRenderedPageBreak/>
              <w:t xml:space="preserve">noteikumiem par pasākuma īstenošanu </w:t>
            </w:r>
          </w:p>
        </w:tc>
        <w:tc>
          <w:tcPr>
            <w:tcW w:w="1276" w:type="dxa"/>
            <w:vMerge w:val="restart"/>
            <w:vAlign w:val="center"/>
          </w:tcPr>
          <w:p w:rsidR="000E7C23" w:rsidRPr="000E7C23" w:rsidRDefault="000E7C23" w:rsidP="000E7C23">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lv-LV"/>
              </w:rPr>
            </w:pPr>
          </w:p>
        </w:tc>
        <w:tc>
          <w:tcPr>
            <w:tcW w:w="1276" w:type="dxa"/>
            <w:vAlign w:val="center"/>
          </w:tcPr>
          <w:p w:rsidR="000E7C23" w:rsidRPr="000E7C23" w:rsidRDefault="000E7C23" w:rsidP="000E7C23">
            <w:pPr>
              <w:spacing w:after="0" w:line="240" w:lineRule="auto"/>
              <w:jc w:val="center"/>
              <w:rPr>
                <w:rFonts w:ascii="Times New Roman" w:eastAsia="Times New Roman" w:hAnsi="Times New Roman" w:cs="Times New Roman"/>
                <w:sz w:val="24"/>
                <w:szCs w:val="24"/>
                <w:lang w:eastAsia="lv-LV"/>
              </w:rPr>
            </w:pPr>
            <w:r w:rsidRPr="000E7C23">
              <w:rPr>
                <w:rFonts w:ascii="Times New Roman" w:eastAsia="Times New Roman" w:hAnsi="Times New Roman" w:cs="Times New Roman"/>
                <w:szCs w:val="24"/>
                <w:lang w:eastAsia="lv-LV"/>
              </w:rPr>
              <w:t>Jā</w:t>
            </w:r>
          </w:p>
        </w:tc>
        <w:tc>
          <w:tcPr>
            <w:tcW w:w="7796" w:type="dxa"/>
            <w:vAlign w:val="center"/>
          </w:tcPr>
          <w:p w:rsidR="000E7C23" w:rsidRPr="000E7C23" w:rsidRDefault="000E7C23" w:rsidP="000E7C23">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0E7C23">
              <w:rPr>
                <w:rFonts w:ascii="Times New Roman" w:eastAsia="Times New Roman" w:hAnsi="Times New Roman" w:cs="Times New Roman"/>
                <w:b/>
                <w:sz w:val="24"/>
                <w:szCs w:val="24"/>
                <w:lang w:eastAsia="lv-LV"/>
              </w:rPr>
              <w:t xml:space="preserve">Vērtējums ir “Jā”, </w:t>
            </w:r>
            <w:r w:rsidRPr="000E7C23">
              <w:rPr>
                <w:rFonts w:ascii="Times New Roman" w:eastAsia="Times New Roman" w:hAnsi="Times New Roman" w:cs="Times New Roman"/>
                <w:sz w:val="24"/>
                <w:szCs w:val="24"/>
                <w:lang w:eastAsia="lv-LV"/>
              </w:rPr>
              <w:t>ja projekta iesniedzējs neatbilst grūtībās nonākuša saimnieciskās darbības veicēja pazīmēm. Projekta iesniedzējs ir grūtībās nonācis saimnieciskās darbības veicējs, ja uz to attiecas vismaz viena no šādām pazīmēm:</w:t>
            </w:r>
          </w:p>
          <w:p w:rsidR="000E7C23" w:rsidRPr="000E7C23" w:rsidRDefault="000E7C23" w:rsidP="000E7C23">
            <w:pPr>
              <w:numPr>
                <w:ilvl w:val="0"/>
                <w:numId w:val="2"/>
              </w:numPr>
              <w:autoSpaceDE w:val="0"/>
              <w:autoSpaceDN w:val="0"/>
              <w:adjustRightInd w:val="0"/>
              <w:spacing w:after="0" w:line="240" w:lineRule="auto"/>
              <w:ind w:left="262" w:hanging="262"/>
              <w:jc w:val="both"/>
              <w:rPr>
                <w:rFonts w:ascii="Times New Roman" w:eastAsia="Times New Roman" w:hAnsi="Times New Roman" w:cs="Times New Roman"/>
                <w:sz w:val="24"/>
                <w:szCs w:val="24"/>
                <w:lang w:eastAsia="lv-LV"/>
              </w:rPr>
            </w:pPr>
            <w:r w:rsidRPr="000E7C23">
              <w:rPr>
                <w:rFonts w:ascii="Times New Roman" w:eastAsia="Times New Roman" w:hAnsi="Times New Roman" w:cs="Times New Roman"/>
                <w:sz w:val="24"/>
                <w:szCs w:val="24"/>
                <w:lang w:eastAsia="lv-LV"/>
              </w:rPr>
              <w:t xml:space="preserve">kapitālsabiedrībai ar tiesas spriedumu pasludināts maksātnespējas process vai ar tiesas spriedumu tiek īstenots tiesiskās aizsardzības process, ar tiesas </w:t>
            </w:r>
            <w:r w:rsidRPr="000E7C23">
              <w:rPr>
                <w:rFonts w:ascii="Times New Roman" w:eastAsia="Times New Roman" w:hAnsi="Times New Roman" w:cs="Times New Roman"/>
                <w:sz w:val="24"/>
                <w:szCs w:val="24"/>
                <w:lang w:eastAsia="lv-LV"/>
              </w:rPr>
              <w:lastRenderedPageBreak/>
              <w:t xml:space="preserve">lēmumu tiek īstenots </w:t>
            </w:r>
            <w:proofErr w:type="spellStart"/>
            <w:r w:rsidRPr="000E7C23">
              <w:rPr>
                <w:rFonts w:ascii="Times New Roman" w:eastAsia="Times New Roman" w:hAnsi="Times New Roman" w:cs="Times New Roman"/>
                <w:sz w:val="24"/>
                <w:szCs w:val="24"/>
                <w:lang w:eastAsia="lv-LV"/>
              </w:rPr>
              <w:t>ārpustiesas</w:t>
            </w:r>
            <w:proofErr w:type="spellEnd"/>
            <w:r w:rsidRPr="000E7C23">
              <w:rPr>
                <w:rFonts w:ascii="Times New Roman" w:eastAsia="Times New Roman" w:hAnsi="Times New Roman" w:cs="Times New Roman"/>
                <w:sz w:val="24"/>
                <w:szCs w:val="24"/>
                <w:lang w:eastAsia="lv-LV"/>
              </w:rPr>
              <w:t xml:space="preserve"> tiesiskās aizsardzības process, tai uzsākta bankrota procedūra, piemērota sanācija vai mierizlīgums, tās saimnieciskā darbība ir izbeigta vai tā atbilst tiesību aktos maksātnespējas jomā noteiktajiem kritērijiem, lai tai pēc kreditoru pieprasījuma piemērotu maksātnespējas procedūru; (</w:t>
            </w:r>
            <w:r w:rsidRPr="006D73B2">
              <w:rPr>
                <w:rFonts w:ascii="Times New Roman" w:hAnsi="Times New Roman" w:cs="Times New Roman"/>
                <w:color w:val="FF0000"/>
                <w:sz w:val="24"/>
                <w:szCs w:val="24"/>
              </w:rPr>
              <w:t>nosacījumu atbilstību skata apliecinājumā, kā arī</w:t>
            </w:r>
            <w:r w:rsidRPr="000E7C23">
              <w:rPr>
                <w:rFonts w:ascii="Times New Roman" w:eastAsia="Times New Roman" w:hAnsi="Times New Roman" w:cs="Times New Roman"/>
                <w:sz w:val="24"/>
                <w:szCs w:val="24"/>
                <w:lang w:eastAsia="lv-LV"/>
              </w:rPr>
              <w:t xml:space="preserve"> pārbauda, vērtējot projekta iesniedzēja atbilstību Eiropas Savienības struktūrfondu un Kohēzijas fonda 2014.-2020.gada plānošanas perioda vadības likuma 23.pantā noteiktajām prasībām);</w:t>
            </w:r>
          </w:p>
          <w:p w:rsidR="000E7C23" w:rsidRPr="000E7C23" w:rsidRDefault="000E7C23" w:rsidP="000E7C23">
            <w:pPr>
              <w:numPr>
                <w:ilvl w:val="0"/>
                <w:numId w:val="2"/>
              </w:numPr>
              <w:autoSpaceDE w:val="0"/>
              <w:autoSpaceDN w:val="0"/>
              <w:adjustRightInd w:val="0"/>
              <w:spacing w:after="0" w:line="240" w:lineRule="auto"/>
              <w:ind w:left="262" w:hanging="262"/>
              <w:jc w:val="both"/>
              <w:rPr>
                <w:rFonts w:ascii="Times New Roman" w:eastAsia="Times New Roman" w:hAnsi="Times New Roman" w:cs="Times New Roman"/>
                <w:sz w:val="24"/>
                <w:szCs w:val="24"/>
                <w:lang w:eastAsia="lv-LV"/>
              </w:rPr>
            </w:pPr>
            <w:r w:rsidRPr="000E7C23">
              <w:rPr>
                <w:rFonts w:ascii="Times New Roman" w:eastAsia="Times New Roman" w:hAnsi="Times New Roman" w:cs="Times New Roman"/>
                <w:sz w:val="24"/>
                <w:szCs w:val="24"/>
                <w:lang w:eastAsia="lv-LV"/>
              </w:rPr>
              <w:t>kapitālsabiedrība uz projekta iesnieguma iesniegšanas dienu uzkrāto zaudējumu dēļ ir zaudējusi vairāk nekā pusi no parakstītā kapitāla (uzkrātos zaudējumus atskaitot no rezervēm un visām pārējām pozīcijām, kuras pieņemts uzskatīt par daļu no komersanta pašu kapitāla, rodas negatīvs rezultāts, kas pārsniedz pusi no parakstītā kapitāla, t.i. pārbaudot gada pārskata bilances 500.rindai pieskaita/atņem bilances 510.rindas un 520.rindas rādītājus, un, ja rodas negatīvs rezultāts, to dala ar bilances 430.rindas rādītāju, dalījums x 100 nedrīkst pārsniegt 50%);</w:t>
            </w:r>
          </w:p>
          <w:p w:rsidR="000E7C23" w:rsidRPr="000E7C23" w:rsidRDefault="000E7C23" w:rsidP="000E7C23">
            <w:pPr>
              <w:numPr>
                <w:ilvl w:val="0"/>
                <w:numId w:val="2"/>
              </w:numPr>
              <w:autoSpaceDE w:val="0"/>
              <w:autoSpaceDN w:val="0"/>
              <w:adjustRightInd w:val="0"/>
              <w:spacing w:after="0" w:line="240" w:lineRule="auto"/>
              <w:ind w:left="262" w:hanging="262"/>
              <w:jc w:val="both"/>
              <w:rPr>
                <w:rFonts w:ascii="Times New Roman" w:eastAsia="Times New Roman" w:hAnsi="Times New Roman" w:cs="Times New Roman"/>
                <w:sz w:val="24"/>
                <w:szCs w:val="24"/>
                <w:lang w:eastAsia="lv-LV"/>
              </w:rPr>
            </w:pPr>
            <w:r w:rsidRPr="000E7C23">
              <w:rPr>
                <w:rFonts w:ascii="Times New Roman" w:eastAsia="Times New Roman" w:hAnsi="Times New Roman" w:cs="Times New Roman"/>
                <w:sz w:val="24"/>
                <w:szCs w:val="24"/>
                <w:lang w:eastAsia="lv-LV"/>
              </w:rPr>
              <w:t>kapitālsabiedrība, kurā kādam no dalībniekiem ir neierobežota atbildība par kapitālsabiedrības parādsaistībām, uz projekta iesnieguma iesniegšanas dienu uzkrāto zaudējumu dēļ ir zaudējusi vairāk nekā pusi no grāmatvedības uzskaitē uzrādītā kapitāla (aprēķina kārtību skatīt iepriekšējā punktā);</w:t>
            </w:r>
          </w:p>
          <w:p w:rsidR="000E7C23" w:rsidRPr="000E7C23" w:rsidRDefault="000E7C23" w:rsidP="000E7C23">
            <w:pPr>
              <w:numPr>
                <w:ilvl w:val="0"/>
                <w:numId w:val="2"/>
              </w:numPr>
              <w:autoSpaceDE w:val="0"/>
              <w:autoSpaceDN w:val="0"/>
              <w:adjustRightInd w:val="0"/>
              <w:spacing w:after="0" w:line="240" w:lineRule="auto"/>
              <w:ind w:left="262" w:hanging="262"/>
              <w:jc w:val="both"/>
              <w:rPr>
                <w:rFonts w:ascii="Times New Roman" w:eastAsia="Times New Roman" w:hAnsi="Times New Roman" w:cs="Times New Roman"/>
                <w:sz w:val="24"/>
                <w:szCs w:val="24"/>
                <w:lang w:eastAsia="lv-LV"/>
              </w:rPr>
            </w:pPr>
            <w:r w:rsidRPr="000E7C23">
              <w:rPr>
                <w:rFonts w:ascii="Times New Roman" w:eastAsia="Times New Roman" w:hAnsi="Times New Roman" w:cs="Times New Roman"/>
                <w:sz w:val="24"/>
                <w:szCs w:val="24"/>
                <w:lang w:eastAsia="lv-LV"/>
              </w:rPr>
              <w:t>kapitālsabiedrība ir saņēmusi glābšanas atbalstu un glābšanas atbalsta ietvaros saņemto aizdevumu nav atmaksājusi vai nav atsaukusi garantiju, vai ir saņēmusi pārstrukturēšanas atbalstu, un uz to joprojām attiecas pārstrukturēšanas plāns. Nosacījuma atbilstību skatīt apliecinājumā;</w:t>
            </w:r>
          </w:p>
          <w:p w:rsidR="000E7C23" w:rsidRPr="000E7C23" w:rsidRDefault="000E7C23" w:rsidP="000E7C23">
            <w:pPr>
              <w:numPr>
                <w:ilvl w:val="0"/>
                <w:numId w:val="2"/>
              </w:numPr>
              <w:autoSpaceDE w:val="0"/>
              <w:autoSpaceDN w:val="0"/>
              <w:adjustRightInd w:val="0"/>
              <w:spacing w:after="0" w:line="240" w:lineRule="auto"/>
              <w:ind w:left="262" w:hanging="262"/>
              <w:jc w:val="both"/>
              <w:rPr>
                <w:rFonts w:ascii="Times New Roman" w:eastAsia="Times New Roman" w:hAnsi="Times New Roman" w:cs="Times New Roman"/>
                <w:sz w:val="24"/>
                <w:szCs w:val="24"/>
                <w:lang w:eastAsia="lv-LV"/>
              </w:rPr>
            </w:pPr>
            <w:r w:rsidRPr="000E7C23">
              <w:rPr>
                <w:rFonts w:ascii="Times New Roman" w:eastAsia="Times New Roman" w:hAnsi="Times New Roman" w:cs="Times New Roman"/>
                <w:sz w:val="24"/>
                <w:szCs w:val="24"/>
                <w:lang w:eastAsia="lv-LV"/>
              </w:rPr>
              <w:t xml:space="preserve">kapitālsabiedrība ir lielais komersants, kam pēdējos divus gadus parādsaistību un pašu kapitāla bilances vērtību attiecība ir pārsniegusi 7,5, un kapitālsabiedrības procentu seguma attiecība, kas rēķināta pēc ieņēmumiem pirms procentu, nodokļu, nolietojuma un amortizācijas atskaitījumiem, ir bijusi mazāka par 1,0 (Pārbaudei izmanto pēdējo divu noslēgto finanšu gadu pārskatus. Parādsaistību un pašu kapitāla attiecību aprēķina pēc šādas formulas </w:t>
            </w:r>
            <w:r w:rsidRPr="000E7C23">
              <w:rPr>
                <w:rFonts w:ascii="Times New Roman" w:eastAsia="Times New Roman" w:hAnsi="Times New Roman" w:cs="Times New Roman"/>
                <w:sz w:val="24"/>
                <w:szCs w:val="24"/>
                <w:lang w:eastAsia="lv-LV"/>
              </w:rPr>
              <w:fldChar w:fldCharType="begin"/>
            </w:r>
            <w:r w:rsidRPr="000E7C23">
              <w:rPr>
                <w:rFonts w:ascii="Times New Roman" w:eastAsia="Times New Roman" w:hAnsi="Times New Roman" w:cs="Times New Roman"/>
                <w:sz w:val="24"/>
                <w:szCs w:val="24"/>
                <w:lang w:eastAsia="lv-LV"/>
              </w:rPr>
              <w:instrText xml:space="preserve"> INCLUDEPICTURE  "cid:image001.png@01D27009.66F49FD0" \* MERGEFORMATINET </w:instrText>
            </w:r>
            <w:r w:rsidRPr="000E7C23">
              <w:rPr>
                <w:rFonts w:ascii="Times New Roman" w:eastAsia="Times New Roman" w:hAnsi="Times New Roman" w:cs="Times New Roman"/>
                <w:sz w:val="24"/>
                <w:szCs w:val="24"/>
                <w:lang w:eastAsia="lv-LV"/>
              </w:rPr>
              <w:fldChar w:fldCharType="separate"/>
            </w:r>
            <w:r w:rsidR="004825D3">
              <w:rPr>
                <w:rFonts w:ascii="Times New Roman" w:eastAsia="Times New Roman" w:hAnsi="Times New Roman" w:cs="Times New Roman"/>
                <w:sz w:val="24"/>
                <w:szCs w:val="24"/>
                <w:lang w:eastAsia="lv-LV"/>
              </w:rPr>
              <w:fldChar w:fldCharType="begin"/>
            </w:r>
            <w:r w:rsidR="004825D3">
              <w:rPr>
                <w:rFonts w:ascii="Times New Roman" w:eastAsia="Times New Roman" w:hAnsi="Times New Roman" w:cs="Times New Roman"/>
                <w:sz w:val="24"/>
                <w:szCs w:val="24"/>
                <w:lang w:eastAsia="lv-LV"/>
              </w:rPr>
              <w:instrText xml:space="preserve"> </w:instrText>
            </w:r>
            <w:r w:rsidR="004825D3">
              <w:rPr>
                <w:rFonts w:ascii="Times New Roman" w:eastAsia="Times New Roman" w:hAnsi="Times New Roman" w:cs="Times New Roman"/>
                <w:sz w:val="24"/>
                <w:szCs w:val="24"/>
                <w:lang w:eastAsia="lv-LV"/>
              </w:rPr>
              <w:instrText>IN</w:instrText>
            </w:r>
            <w:r w:rsidR="004825D3">
              <w:rPr>
                <w:rFonts w:ascii="Times New Roman" w:eastAsia="Times New Roman" w:hAnsi="Times New Roman" w:cs="Times New Roman"/>
                <w:sz w:val="24"/>
                <w:szCs w:val="24"/>
                <w:lang w:eastAsia="lv-LV"/>
              </w:rPr>
              <w:instrText>CLUDEPICTURE  "cid:image001.png@01D27009.66F49FD0" \* MERGEFORMATINET</w:instrText>
            </w:r>
            <w:r w:rsidR="004825D3">
              <w:rPr>
                <w:rFonts w:ascii="Times New Roman" w:eastAsia="Times New Roman" w:hAnsi="Times New Roman" w:cs="Times New Roman"/>
                <w:sz w:val="24"/>
                <w:szCs w:val="24"/>
                <w:lang w:eastAsia="lv-LV"/>
              </w:rPr>
              <w:instrText xml:space="preserve"> </w:instrText>
            </w:r>
            <w:r w:rsidR="004825D3">
              <w:rPr>
                <w:rFonts w:ascii="Times New Roman" w:eastAsia="Times New Roman" w:hAnsi="Times New Roman" w:cs="Times New Roman"/>
                <w:sz w:val="24"/>
                <w:szCs w:val="24"/>
                <w:lang w:eastAsia="lv-LV"/>
              </w:rPr>
              <w:fldChar w:fldCharType="separate"/>
            </w:r>
            <w:r w:rsidR="004825D3">
              <w:rPr>
                <w:rFonts w:ascii="Times New Roman" w:eastAsia="Times New Roman" w:hAnsi="Times New Roman" w:cs="Times New Roman"/>
                <w:sz w:val="24"/>
                <w:szCs w:val="24"/>
                <w:lang w:eastAsia="lv-LV"/>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0.7pt;height:27.1pt">
                  <v:imagedata r:id="rId6" r:href="rId7"/>
                </v:shape>
              </w:pict>
            </w:r>
            <w:r w:rsidR="004825D3">
              <w:rPr>
                <w:rFonts w:ascii="Times New Roman" w:eastAsia="Times New Roman" w:hAnsi="Times New Roman" w:cs="Times New Roman"/>
                <w:sz w:val="24"/>
                <w:szCs w:val="24"/>
                <w:lang w:eastAsia="lv-LV"/>
              </w:rPr>
              <w:fldChar w:fldCharType="end"/>
            </w:r>
            <w:r w:rsidRPr="000E7C23">
              <w:rPr>
                <w:rFonts w:ascii="Times New Roman" w:eastAsia="Times New Roman" w:hAnsi="Times New Roman" w:cs="Times New Roman"/>
                <w:sz w:val="24"/>
                <w:szCs w:val="24"/>
                <w:lang w:eastAsia="lv-LV"/>
              </w:rPr>
              <w:fldChar w:fldCharType="end"/>
            </w:r>
            <w:r w:rsidRPr="000E7C23">
              <w:rPr>
                <w:rFonts w:ascii="Times New Roman" w:eastAsia="Times New Roman" w:hAnsi="Times New Roman" w:cs="Times New Roman"/>
                <w:sz w:val="24"/>
                <w:szCs w:val="24"/>
                <w:lang w:eastAsia="lv-LV"/>
              </w:rPr>
              <w:t xml:space="preserve">, kur kreditori bilances 790.rinda un pašu kapitāls bilances 530.rinda. Procentu segumu attiecību aprēķina pēc šādas formulas </w:t>
            </w:r>
            <w:r w:rsidRPr="000E7C23">
              <w:rPr>
                <w:rFonts w:ascii="Times New Roman" w:eastAsia="Times New Roman" w:hAnsi="Times New Roman" w:cs="Times New Roman"/>
                <w:sz w:val="24"/>
                <w:szCs w:val="24"/>
                <w:lang w:eastAsia="lv-LV"/>
              </w:rPr>
              <w:fldChar w:fldCharType="begin"/>
            </w:r>
            <w:r w:rsidRPr="000E7C23">
              <w:rPr>
                <w:rFonts w:ascii="Times New Roman" w:eastAsia="Times New Roman" w:hAnsi="Times New Roman" w:cs="Times New Roman"/>
                <w:sz w:val="24"/>
                <w:szCs w:val="24"/>
                <w:lang w:eastAsia="lv-LV"/>
              </w:rPr>
              <w:instrText xml:space="preserve"> INCLUDEPICTURE  "cid:image002.png@01D27009.66F49FD0" \* MERGEFORMATINET </w:instrText>
            </w:r>
            <w:r w:rsidRPr="000E7C23">
              <w:rPr>
                <w:rFonts w:ascii="Times New Roman" w:eastAsia="Times New Roman" w:hAnsi="Times New Roman" w:cs="Times New Roman"/>
                <w:sz w:val="24"/>
                <w:szCs w:val="24"/>
                <w:lang w:eastAsia="lv-LV"/>
              </w:rPr>
              <w:fldChar w:fldCharType="separate"/>
            </w:r>
            <w:r w:rsidR="004825D3">
              <w:rPr>
                <w:rFonts w:ascii="Times New Roman" w:eastAsia="Times New Roman" w:hAnsi="Times New Roman" w:cs="Times New Roman"/>
                <w:sz w:val="24"/>
                <w:szCs w:val="24"/>
                <w:lang w:eastAsia="lv-LV"/>
              </w:rPr>
              <w:fldChar w:fldCharType="begin"/>
            </w:r>
            <w:r w:rsidR="004825D3">
              <w:rPr>
                <w:rFonts w:ascii="Times New Roman" w:eastAsia="Times New Roman" w:hAnsi="Times New Roman" w:cs="Times New Roman"/>
                <w:sz w:val="24"/>
                <w:szCs w:val="24"/>
                <w:lang w:eastAsia="lv-LV"/>
              </w:rPr>
              <w:instrText xml:space="preserve"> </w:instrText>
            </w:r>
            <w:r w:rsidR="004825D3">
              <w:rPr>
                <w:rFonts w:ascii="Times New Roman" w:eastAsia="Times New Roman" w:hAnsi="Times New Roman" w:cs="Times New Roman"/>
                <w:sz w:val="24"/>
                <w:szCs w:val="24"/>
                <w:lang w:eastAsia="lv-LV"/>
              </w:rPr>
              <w:instrText>INCLUDEPICTURE  "cid:image002.png@01D27009.66F49FD0" \* MERGEFORMATINET</w:instrText>
            </w:r>
            <w:r w:rsidR="004825D3">
              <w:rPr>
                <w:rFonts w:ascii="Times New Roman" w:eastAsia="Times New Roman" w:hAnsi="Times New Roman" w:cs="Times New Roman"/>
                <w:sz w:val="24"/>
                <w:szCs w:val="24"/>
                <w:lang w:eastAsia="lv-LV"/>
              </w:rPr>
              <w:instrText xml:space="preserve"> </w:instrText>
            </w:r>
            <w:r w:rsidR="004825D3">
              <w:rPr>
                <w:rFonts w:ascii="Times New Roman" w:eastAsia="Times New Roman" w:hAnsi="Times New Roman" w:cs="Times New Roman"/>
                <w:sz w:val="24"/>
                <w:szCs w:val="24"/>
                <w:lang w:eastAsia="lv-LV"/>
              </w:rPr>
              <w:fldChar w:fldCharType="separate"/>
            </w:r>
            <w:r w:rsidR="004825D3">
              <w:rPr>
                <w:rFonts w:ascii="Times New Roman" w:eastAsia="Times New Roman" w:hAnsi="Times New Roman" w:cs="Times New Roman"/>
                <w:sz w:val="24"/>
                <w:szCs w:val="24"/>
                <w:lang w:eastAsia="lv-LV"/>
              </w:rPr>
              <w:pict>
                <v:shape id="_x0000_i1026" type="#_x0000_t75" style="width:97.25pt;height:24.3pt">
                  <v:imagedata r:id="rId8" r:href="rId9"/>
                </v:shape>
              </w:pict>
            </w:r>
            <w:r w:rsidR="004825D3">
              <w:rPr>
                <w:rFonts w:ascii="Times New Roman" w:eastAsia="Times New Roman" w:hAnsi="Times New Roman" w:cs="Times New Roman"/>
                <w:sz w:val="24"/>
                <w:szCs w:val="24"/>
                <w:lang w:eastAsia="lv-LV"/>
              </w:rPr>
              <w:fldChar w:fldCharType="end"/>
            </w:r>
            <w:r w:rsidRPr="000E7C23">
              <w:rPr>
                <w:rFonts w:ascii="Times New Roman" w:eastAsia="Times New Roman" w:hAnsi="Times New Roman" w:cs="Times New Roman"/>
                <w:sz w:val="24"/>
                <w:szCs w:val="24"/>
                <w:lang w:eastAsia="lv-LV"/>
              </w:rPr>
              <w:fldChar w:fldCharType="end"/>
            </w:r>
            <w:r w:rsidRPr="000E7C23">
              <w:rPr>
                <w:rFonts w:ascii="Times New Roman" w:eastAsia="Times New Roman" w:hAnsi="Times New Roman" w:cs="Times New Roman"/>
                <w:sz w:val="24"/>
                <w:szCs w:val="24"/>
                <w:lang w:eastAsia="lv-LV"/>
              </w:rPr>
              <w:t xml:space="preserve">, kur A - procentu maksājumi, B - neto peļņa, </w:t>
            </w:r>
            <w:r w:rsidRPr="000E7C23">
              <w:rPr>
                <w:rFonts w:ascii="Times New Roman" w:eastAsia="Times New Roman" w:hAnsi="Times New Roman" w:cs="Times New Roman"/>
                <w:sz w:val="24"/>
                <w:szCs w:val="24"/>
                <w:lang w:eastAsia="lv-LV"/>
              </w:rPr>
              <w:lastRenderedPageBreak/>
              <w:t>C - uzņēmuma ienākuma nodoklis pārskata periodā, D - kopējie nolietojuma/amortizācijas atskaitījumi pārskata periodā).</w:t>
            </w:r>
          </w:p>
          <w:p w:rsidR="000E7C23" w:rsidRPr="000E7C23" w:rsidRDefault="000E7C23" w:rsidP="000E7C23">
            <w:pPr>
              <w:shd w:val="clear" w:color="auto" w:fill="FFFFFF"/>
              <w:spacing w:after="0" w:line="240" w:lineRule="auto"/>
              <w:jc w:val="both"/>
              <w:rPr>
                <w:rFonts w:ascii="Times New Roman" w:eastAsia="Times New Roman" w:hAnsi="Times New Roman" w:cs="Times New Roman"/>
                <w:sz w:val="24"/>
                <w:szCs w:val="24"/>
                <w:lang w:eastAsia="lv-LV"/>
              </w:rPr>
            </w:pPr>
            <w:r w:rsidRPr="000E7C23">
              <w:rPr>
                <w:rFonts w:ascii="Times New Roman" w:eastAsia="Times New Roman" w:hAnsi="Times New Roman" w:cs="Times New Roman"/>
                <w:sz w:val="24"/>
                <w:szCs w:val="24"/>
                <w:lang w:eastAsia="lv-LV"/>
              </w:rPr>
              <w:t>Kritērija vērtēšanai izmanto LURSOFT pieejamos uzņēmuma gada pārskatus (bilances, peļņas un zaudējumu aprēķini (par pēdējiem diviem gadiem, piemēram, ja projekta iesniegums iesniegts 2017.gadā, tad informāciju pārbauda 2016., 2015.gada pārskata bilancēs) vai informāciju citās publiski pieejamās datu bāzēs. Ja informācija par komersanta saistītajiem vai partneruzņēmumiem nav publiski pieejama, projekta iesniedzējam papildus jāiesniedz deklarācija par komercsabiedrības atbilstību mazajai (sīkajai) vai vidējai komercsabiedrībai, pievienojot to komersanta saistīto vai partneruzņēmumu gada pārskatus par pēdējiem diviem noslēgtajiem finanšu gadiem, par kuriem nav pieejama informācija LURSOFT vai citās publiski pieejamās datu bāzēs.</w:t>
            </w:r>
          </w:p>
        </w:tc>
      </w:tr>
      <w:tr w:rsidR="000E7C23" w:rsidRPr="000E7C23" w:rsidTr="007A38B5">
        <w:trPr>
          <w:trHeight w:val="1703"/>
          <w:jc w:val="center"/>
        </w:trPr>
        <w:tc>
          <w:tcPr>
            <w:tcW w:w="880" w:type="dxa"/>
            <w:vMerge/>
            <w:vAlign w:val="center"/>
          </w:tcPr>
          <w:p w:rsidR="000E7C23" w:rsidRPr="000E7C23" w:rsidRDefault="000E7C23" w:rsidP="000E7C23">
            <w:pPr>
              <w:spacing w:after="0" w:line="240" w:lineRule="auto"/>
              <w:rPr>
                <w:rFonts w:ascii="Times New Roman" w:eastAsia="Times New Roman" w:hAnsi="Times New Roman" w:cs="Times New Roman"/>
                <w:sz w:val="24"/>
                <w:szCs w:val="24"/>
                <w:lang w:eastAsia="lv-LV"/>
              </w:rPr>
            </w:pPr>
          </w:p>
        </w:tc>
        <w:tc>
          <w:tcPr>
            <w:tcW w:w="3798" w:type="dxa"/>
            <w:vMerge/>
            <w:vAlign w:val="center"/>
          </w:tcPr>
          <w:p w:rsidR="000E7C23" w:rsidRPr="000E7C23" w:rsidRDefault="000E7C23" w:rsidP="000E7C23">
            <w:pPr>
              <w:spacing w:after="0" w:line="240" w:lineRule="auto"/>
              <w:ind w:right="175"/>
              <w:jc w:val="both"/>
              <w:rPr>
                <w:rFonts w:ascii="Times New Roman" w:eastAsia="Times New Roman" w:hAnsi="Times New Roman" w:cs="Times New Roman"/>
                <w:color w:val="000000"/>
                <w:sz w:val="24"/>
                <w:szCs w:val="24"/>
                <w:lang w:eastAsia="x-none"/>
              </w:rPr>
            </w:pPr>
          </w:p>
        </w:tc>
        <w:tc>
          <w:tcPr>
            <w:tcW w:w="1276" w:type="dxa"/>
            <w:vMerge/>
            <w:vAlign w:val="center"/>
          </w:tcPr>
          <w:p w:rsidR="000E7C23" w:rsidRPr="000E7C23" w:rsidRDefault="000E7C23" w:rsidP="000E7C23">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lv-LV"/>
              </w:rPr>
            </w:pPr>
          </w:p>
        </w:tc>
        <w:tc>
          <w:tcPr>
            <w:tcW w:w="1276" w:type="dxa"/>
            <w:vAlign w:val="center"/>
          </w:tcPr>
          <w:p w:rsidR="000E7C23" w:rsidRPr="000E7C23" w:rsidRDefault="000E7C23" w:rsidP="000E7C23">
            <w:pPr>
              <w:spacing w:after="0" w:line="240" w:lineRule="auto"/>
              <w:jc w:val="center"/>
              <w:rPr>
                <w:rFonts w:ascii="Times New Roman" w:eastAsia="Times New Roman" w:hAnsi="Times New Roman" w:cs="Times New Roman"/>
                <w:sz w:val="24"/>
                <w:szCs w:val="24"/>
                <w:lang w:eastAsia="lv-LV"/>
              </w:rPr>
            </w:pPr>
            <w:r w:rsidRPr="000E7C23">
              <w:rPr>
                <w:rFonts w:ascii="Times New Roman" w:eastAsia="Times New Roman" w:hAnsi="Times New Roman" w:cs="Times New Roman"/>
                <w:szCs w:val="24"/>
                <w:lang w:eastAsia="lv-LV"/>
              </w:rPr>
              <w:t>Jā, ar nosacījumu</w:t>
            </w:r>
          </w:p>
        </w:tc>
        <w:tc>
          <w:tcPr>
            <w:tcW w:w="7796" w:type="dxa"/>
            <w:vAlign w:val="center"/>
          </w:tcPr>
          <w:p w:rsidR="000E7C23" w:rsidRPr="000E7C23" w:rsidRDefault="000E7C23" w:rsidP="000E7C23">
            <w:pPr>
              <w:autoSpaceDE w:val="0"/>
              <w:autoSpaceDN w:val="0"/>
              <w:adjustRightInd w:val="0"/>
              <w:spacing w:after="0" w:line="240" w:lineRule="auto"/>
              <w:jc w:val="both"/>
              <w:rPr>
                <w:rFonts w:ascii="Times New Roman" w:eastAsia="Times New Roman" w:hAnsi="Times New Roman" w:cs="Times New Roman"/>
                <w:b/>
                <w:sz w:val="24"/>
                <w:szCs w:val="24"/>
                <w:lang w:eastAsia="lv-LV"/>
              </w:rPr>
            </w:pPr>
            <w:r w:rsidRPr="000E7C23">
              <w:rPr>
                <w:rFonts w:ascii="Times New Roman" w:eastAsia="Times New Roman" w:hAnsi="Times New Roman" w:cs="Times New Roman"/>
                <w:sz w:val="24"/>
                <w:szCs w:val="24"/>
                <w:lang w:eastAsia="lv-LV"/>
              </w:rPr>
              <w:t xml:space="preserve">Ja projekta iesniegums neatbilst visām prasībām, kas izvirzītas, lai 1.18. kritērijā saņemtu vērtējumu “Jā”, </w:t>
            </w:r>
            <w:r w:rsidRPr="000E7C23">
              <w:rPr>
                <w:rFonts w:ascii="Times New Roman" w:eastAsia="Times New Roman" w:hAnsi="Times New Roman" w:cs="Times New Roman"/>
                <w:b/>
                <w:sz w:val="24"/>
                <w:szCs w:val="24"/>
                <w:lang w:eastAsia="lv-LV"/>
              </w:rPr>
              <w:t>vērtējums ir “Jā, ar nosacījumu”</w:t>
            </w:r>
            <w:r w:rsidRPr="000E7C23">
              <w:rPr>
                <w:rFonts w:ascii="Times New Roman" w:eastAsia="Times New Roman" w:hAnsi="Times New Roman" w:cs="Times New Roman"/>
                <w:sz w:val="24"/>
                <w:szCs w:val="24"/>
                <w:lang w:eastAsia="lv-LV"/>
              </w:rPr>
              <w:t>, lēmumā izvirza atbilstošu nosacījumu iesniegt informāciju un/vai dokumentāciju, kas apliecina, ka saimnieciskās darbības veicējs neatbilst grūtībās nonākuša saimnieciskās darbības veicēja pazīmēm. Precizējumi var attiekties tikai uz tehniskiem, aritmētiskiem un redakcionāliem precizējumiem.</w:t>
            </w:r>
          </w:p>
        </w:tc>
      </w:tr>
      <w:tr w:rsidR="000E7C23" w:rsidRPr="000E7C23" w:rsidTr="007A38B5">
        <w:trPr>
          <w:jc w:val="center"/>
        </w:trPr>
        <w:tc>
          <w:tcPr>
            <w:tcW w:w="880" w:type="dxa"/>
            <w:vMerge/>
            <w:vAlign w:val="center"/>
          </w:tcPr>
          <w:p w:rsidR="000E7C23" w:rsidRPr="000E7C23" w:rsidRDefault="000E7C23" w:rsidP="000E7C23">
            <w:pPr>
              <w:spacing w:after="0" w:line="240" w:lineRule="auto"/>
              <w:rPr>
                <w:rFonts w:ascii="Times New Roman" w:eastAsia="Times New Roman" w:hAnsi="Times New Roman" w:cs="Times New Roman"/>
                <w:sz w:val="24"/>
                <w:szCs w:val="24"/>
                <w:lang w:eastAsia="lv-LV"/>
              </w:rPr>
            </w:pPr>
          </w:p>
        </w:tc>
        <w:tc>
          <w:tcPr>
            <w:tcW w:w="3798" w:type="dxa"/>
            <w:vMerge/>
            <w:vAlign w:val="center"/>
          </w:tcPr>
          <w:p w:rsidR="000E7C23" w:rsidRPr="000E7C23" w:rsidRDefault="000E7C23" w:rsidP="000E7C23">
            <w:pPr>
              <w:spacing w:after="0" w:line="240" w:lineRule="auto"/>
              <w:ind w:right="175"/>
              <w:jc w:val="both"/>
              <w:rPr>
                <w:rFonts w:ascii="Times New Roman" w:eastAsia="Times New Roman" w:hAnsi="Times New Roman" w:cs="Times New Roman"/>
                <w:color w:val="000000"/>
                <w:sz w:val="24"/>
                <w:szCs w:val="24"/>
                <w:lang w:eastAsia="x-none"/>
              </w:rPr>
            </w:pPr>
          </w:p>
        </w:tc>
        <w:tc>
          <w:tcPr>
            <w:tcW w:w="1276" w:type="dxa"/>
            <w:vMerge/>
            <w:vAlign w:val="center"/>
          </w:tcPr>
          <w:p w:rsidR="000E7C23" w:rsidRPr="000E7C23" w:rsidRDefault="000E7C23" w:rsidP="000E7C23">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lv-LV"/>
              </w:rPr>
            </w:pPr>
          </w:p>
        </w:tc>
        <w:tc>
          <w:tcPr>
            <w:tcW w:w="1276" w:type="dxa"/>
            <w:vAlign w:val="center"/>
          </w:tcPr>
          <w:p w:rsidR="000E7C23" w:rsidRPr="000E7C23" w:rsidRDefault="000E7C23" w:rsidP="000E7C23">
            <w:pPr>
              <w:spacing w:after="0" w:line="240" w:lineRule="auto"/>
              <w:jc w:val="center"/>
              <w:rPr>
                <w:rFonts w:ascii="Times New Roman" w:eastAsia="Times New Roman" w:hAnsi="Times New Roman" w:cs="Times New Roman"/>
                <w:sz w:val="24"/>
                <w:szCs w:val="24"/>
                <w:lang w:eastAsia="lv-LV"/>
              </w:rPr>
            </w:pPr>
            <w:r w:rsidRPr="000E7C23">
              <w:rPr>
                <w:rFonts w:ascii="Times New Roman" w:eastAsia="Times New Roman" w:hAnsi="Times New Roman" w:cs="Times New Roman"/>
                <w:szCs w:val="24"/>
                <w:lang w:eastAsia="lv-LV"/>
              </w:rPr>
              <w:t>Nē</w:t>
            </w:r>
          </w:p>
        </w:tc>
        <w:tc>
          <w:tcPr>
            <w:tcW w:w="7796" w:type="dxa"/>
            <w:vAlign w:val="center"/>
          </w:tcPr>
          <w:p w:rsidR="000E7C23" w:rsidRPr="000E7C23" w:rsidRDefault="000E7C23" w:rsidP="000E7C23">
            <w:pPr>
              <w:autoSpaceDE w:val="0"/>
              <w:autoSpaceDN w:val="0"/>
              <w:adjustRightInd w:val="0"/>
              <w:spacing w:after="0" w:line="240" w:lineRule="auto"/>
              <w:jc w:val="both"/>
              <w:rPr>
                <w:rFonts w:ascii="Times New Roman" w:eastAsia="Times New Roman" w:hAnsi="Times New Roman" w:cs="Times New Roman"/>
                <w:b/>
                <w:sz w:val="24"/>
                <w:szCs w:val="24"/>
                <w:lang w:eastAsia="lv-LV"/>
              </w:rPr>
            </w:pPr>
            <w:r w:rsidRPr="000E7C23">
              <w:rPr>
                <w:rFonts w:ascii="Times New Roman" w:eastAsia="Times New Roman" w:hAnsi="Times New Roman" w:cs="Times New Roman"/>
                <w:b/>
                <w:sz w:val="24"/>
                <w:szCs w:val="24"/>
                <w:lang w:eastAsia="lv-LV"/>
              </w:rPr>
              <w:t>Vērtējums ir</w:t>
            </w:r>
            <w:r w:rsidRPr="000E7C23">
              <w:rPr>
                <w:rFonts w:ascii="Times New Roman" w:eastAsia="Times New Roman" w:hAnsi="Times New Roman" w:cs="Times New Roman"/>
                <w:sz w:val="24"/>
                <w:szCs w:val="24"/>
                <w:lang w:eastAsia="lv-LV"/>
              </w:rPr>
              <w:t xml:space="preserve"> “</w:t>
            </w:r>
            <w:r w:rsidRPr="000E7C23">
              <w:rPr>
                <w:rFonts w:ascii="Times New Roman" w:eastAsia="Times New Roman" w:hAnsi="Times New Roman" w:cs="Times New Roman"/>
                <w:b/>
                <w:sz w:val="24"/>
                <w:szCs w:val="24"/>
                <w:lang w:eastAsia="lv-LV"/>
              </w:rPr>
              <w:t>Nē</w:t>
            </w:r>
            <w:r w:rsidRPr="000E7C23">
              <w:rPr>
                <w:rFonts w:ascii="Times New Roman" w:eastAsia="Times New Roman" w:hAnsi="Times New Roman" w:cs="Times New Roman"/>
                <w:sz w:val="24"/>
                <w:szCs w:val="24"/>
                <w:lang w:eastAsia="lv-LV"/>
              </w:rPr>
              <w:t>”, ja projekta iesniedzējs atbilst kaut vienai grūtībās nonākuša saimnieciskās darbības veicēja pazīmei vai neizpilda lēmumā par projekta iesnieguma apstiprināšanu ar nosacījumiem ietvertos nosacījumus vai pēc nosacījumu izpildes joprojām neatbilst izvirzītajām prasībām, vai arī nosacījumus neizpilda lēmumā par projekta iesnieguma apstiprināšanu ar nosacījumiem noteiktajā termiņā.</w:t>
            </w:r>
          </w:p>
        </w:tc>
      </w:tr>
    </w:tbl>
    <w:p w:rsidR="000E7C23" w:rsidRPr="000E7C23" w:rsidRDefault="000E7C23" w:rsidP="000E7C23">
      <w:pPr>
        <w:rPr>
          <w:rFonts w:ascii="Times New Roman" w:hAnsi="Times New Roman"/>
        </w:rPr>
      </w:pPr>
    </w:p>
    <w:sectPr w:rsidR="000E7C23" w:rsidRPr="000E7C23" w:rsidSect="00AF4BE1">
      <w:pgSz w:w="16838" w:h="11906" w:orient="landscape"/>
      <w:pgMar w:top="992" w:right="851" w:bottom="1134"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ヒラギノ角ゴ Pro W3">
    <w:altName w:val="Times New Roman"/>
    <w:charset w:val="00"/>
    <w:family w:val="roman"/>
    <w:pitch w:val="default"/>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521B9"/>
    <w:multiLevelType w:val="hybridMultilevel"/>
    <w:tmpl w:val="EA044962"/>
    <w:lvl w:ilvl="0" w:tplc="AA8AFBFE">
      <w:numFmt w:val="bullet"/>
      <w:lvlText w:val="•"/>
      <w:lvlJc w:val="left"/>
      <w:pPr>
        <w:ind w:left="1068" w:hanging="360"/>
      </w:pPr>
      <w:rPr>
        <w:rFonts w:ascii="Times New Roman" w:eastAsia="ヒラギノ角ゴ Pro W3" w:hAnsi="Times New Roman" w:cs="Times New Roman" w:hint="default"/>
        <w:color w:val="auto"/>
      </w:rPr>
    </w:lvl>
    <w:lvl w:ilvl="1" w:tplc="04090003">
      <w:start w:val="1"/>
      <w:numFmt w:val="bullet"/>
      <w:lvlText w:val="o"/>
      <w:lvlJc w:val="left"/>
      <w:pPr>
        <w:ind w:left="1788" w:hanging="360"/>
      </w:pPr>
      <w:rPr>
        <w:rFonts w:ascii="Courier New" w:hAnsi="Courier New" w:cs="Courier New" w:hint="default"/>
      </w:rPr>
    </w:lvl>
    <w:lvl w:ilvl="2" w:tplc="04090005">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 w15:restartNumberingAfterBreak="0">
    <w:nsid w:val="286F749C"/>
    <w:multiLevelType w:val="hybridMultilevel"/>
    <w:tmpl w:val="8F6CB044"/>
    <w:lvl w:ilvl="0" w:tplc="6FB2911C">
      <w:numFmt w:val="bullet"/>
      <w:lvlText w:val="-"/>
      <w:lvlJc w:val="left"/>
      <w:pPr>
        <w:ind w:left="1068" w:hanging="360"/>
      </w:pPr>
      <w:rPr>
        <w:rFonts w:ascii="Times New Roman" w:eastAsia="Times New Roman" w:hAnsi="Times New Roman" w:cs="Times New Roman" w:hint="default"/>
        <w:color w:val="auto"/>
      </w:rPr>
    </w:lvl>
    <w:lvl w:ilvl="1" w:tplc="04090003">
      <w:start w:val="1"/>
      <w:numFmt w:val="bullet"/>
      <w:lvlText w:val="o"/>
      <w:lvlJc w:val="left"/>
      <w:pPr>
        <w:ind w:left="1788" w:hanging="360"/>
      </w:pPr>
      <w:rPr>
        <w:rFonts w:ascii="Courier New" w:hAnsi="Courier New" w:cs="Courier New" w:hint="default"/>
      </w:rPr>
    </w:lvl>
    <w:lvl w:ilvl="2" w:tplc="04090005">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 w15:restartNumberingAfterBreak="0">
    <w:nsid w:val="2F7A18EA"/>
    <w:multiLevelType w:val="hybridMultilevel"/>
    <w:tmpl w:val="D4C07E3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615264C6"/>
    <w:multiLevelType w:val="hybridMultilevel"/>
    <w:tmpl w:val="BF06D3A6"/>
    <w:lvl w:ilvl="0" w:tplc="6FB2911C">
      <w:numFmt w:val="bullet"/>
      <w:lvlText w:val="-"/>
      <w:lvlJc w:val="left"/>
      <w:pPr>
        <w:ind w:left="1068" w:hanging="360"/>
      </w:pPr>
      <w:rPr>
        <w:rFonts w:ascii="Times New Roman" w:eastAsia="Times New Roman" w:hAnsi="Times New Roman" w:cs="Times New Roman" w:hint="default"/>
        <w:color w:val="auto"/>
      </w:rPr>
    </w:lvl>
    <w:lvl w:ilvl="1" w:tplc="04090003">
      <w:start w:val="1"/>
      <w:numFmt w:val="bullet"/>
      <w:lvlText w:val="o"/>
      <w:lvlJc w:val="left"/>
      <w:pPr>
        <w:ind w:left="1788" w:hanging="360"/>
      </w:pPr>
      <w:rPr>
        <w:rFonts w:ascii="Courier New" w:hAnsi="Courier New" w:cs="Courier New" w:hint="default"/>
      </w:rPr>
    </w:lvl>
    <w:lvl w:ilvl="2" w:tplc="04090005">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829"/>
    <w:rsid w:val="000E7C23"/>
    <w:rsid w:val="004825D3"/>
    <w:rsid w:val="00522D8B"/>
    <w:rsid w:val="005A0B03"/>
    <w:rsid w:val="005C2F72"/>
    <w:rsid w:val="005D5028"/>
    <w:rsid w:val="00666F3C"/>
    <w:rsid w:val="00953638"/>
    <w:rsid w:val="00954FDB"/>
    <w:rsid w:val="009F5829"/>
    <w:rsid w:val="00AC760C"/>
    <w:rsid w:val="00AF4BE1"/>
    <w:rsid w:val="00FF7ED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A2144ACA-430C-41B0-94AB-7E31D6F82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58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H&amp;P List Paragraph,2,Strip,Saraksta rindkopa1,Normal bullet 2,Bullet list"/>
    <w:basedOn w:val="Normal"/>
    <w:link w:val="ListParagraphChar"/>
    <w:uiPriority w:val="34"/>
    <w:qFormat/>
    <w:rsid w:val="00FF7ED2"/>
    <w:pPr>
      <w:ind w:left="720"/>
    </w:pPr>
    <w:rPr>
      <w:rFonts w:cs="Times New Roman"/>
      <w:lang w:eastAsia="lv-LV"/>
    </w:rPr>
  </w:style>
  <w:style w:type="character" w:customStyle="1" w:styleId="ListParagraphChar">
    <w:name w:val="List Paragraph Char"/>
    <w:aliases w:val="H&amp;P List Paragraph Char,2 Char,Strip Char,Saraksta rindkopa1 Char,Normal bullet 2 Char,Bullet list Char"/>
    <w:link w:val="ListParagraph"/>
    <w:uiPriority w:val="34"/>
    <w:qFormat/>
    <w:locked/>
    <w:rsid w:val="009F5829"/>
    <w:rPr>
      <w:rFonts w:ascii="Times New Roman" w:hAnsi="Times New Roman" w:cs="Times New Roman"/>
      <w:sz w:val="24"/>
      <w:lang w:eastAsia="lv-LV"/>
    </w:rPr>
  </w:style>
  <w:style w:type="character" w:styleId="Hyperlink">
    <w:name w:val="Hyperlink"/>
    <w:uiPriority w:val="99"/>
    <w:unhideWhenUsed/>
    <w:rsid w:val="00666F3C"/>
    <w:rPr>
      <w:color w:val="0563C1"/>
      <w:u w:val="single"/>
    </w:rPr>
  </w:style>
  <w:style w:type="paragraph" w:styleId="NoSpacing">
    <w:name w:val="No Spacing"/>
    <w:uiPriority w:val="1"/>
    <w:qFormat/>
    <w:rsid w:val="00666F3C"/>
    <w:pPr>
      <w:spacing w:after="0" w:line="240" w:lineRule="auto"/>
    </w:pPr>
    <w:rPr>
      <w:rFonts w:ascii="Calibri" w:eastAsia="ヒラギノ角ゴ Pro W3" w:hAnsi="Calibri" w:cs="Times New Roman"/>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cid:image001.png@01D27009.66F49FD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http://www.varam.gov.lv/lat/fondi/kohez/2014_2020/?doc=18639"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cid:image002.png@01D27009.66F49F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9E80E93B</Template>
  <TotalTime>16</TotalTime>
  <Pages>7</Pages>
  <Words>9688</Words>
  <Characters>5523</Characters>
  <Application>Microsoft Office Word</Application>
  <DocSecurity>0</DocSecurity>
  <Lines>46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Madara Zamarina</dc:creator>
  <cp:keywords/>
  <dc:description/>
  <cp:lastModifiedBy>Madara Zamarina</cp:lastModifiedBy>
  <cp:revision>9</cp:revision>
  <dcterms:created xsi:type="dcterms:W3CDTF">2017-05-22T11:10:00Z</dcterms:created>
  <dcterms:modified xsi:type="dcterms:W3CDTF">2017-06-15T13:58:00Z</dcterms:modified>
</cp:coreProperties>
</file>