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43"/>
        <w:gridCol w:w="3992"/>
        <w:gridCol w:w="9013"/>
      </w:tblGrid>
      <w:tr w:rsidR="00282F33" w:rsidTr="0047088F">
        <w:tc>
          <w:tcPr>
            <w:tcW w:w="943" w:type="dxa"/>
            <w:shd w:val="clear" w:color="auto" w:fill="D0CECE" w:themeFill="background2" w:themeFillShade="E6"/>
          </w:tcPr>
          <w:p w:rsidR="00282F33" w:rsidRPr="00282F33" w:rsidRDefault="00282F33">
            <w:pPr>
              <w:rPr>
                <w:b/>
                <w:sz w:val="24"/>
              </w:rPr>
            </w:pPr>
            <w:bookmarkStart w:id="0" w:name="_GoBack" w:colFirst="1" w:colLast="1"/>
            <w:proofErr w:type="spellStart"/>
            <w:r w:rsidRPr="00282F33">
              <w:rPr>
                <w:b/>
                <w:sz w:val="24"/>
              </w:rPr>
              <w:t>Nr.p.k</w:t>
            </w:r>
            <w:proofErr w:type="spellEnd"/>
            <w:r w:rsidRPr="00282F33">
              <w:rPr>
                <w:b/>
                <w:sz w:val="24"/>
              </w:rPr>
              <w:t>.</w:t>
            </w:r>
          </w:p>
        </w:tc>
        <w:tc>
          <w:tcPr>
            <w:tcW w:w="3992" w:type="dxa"/>
            <w:shd w:val="clear" w:color="auto" w:fill="D0CECE" w:themeFill="background2" w:themeFillShade="E6"/>
          </w:tcPr>
          <w:p w:rsidR="00282F33" w:rsidRPr="00282F33" w:rsidRDefault="00282F33">
            <w:pPr>
              <w:rPr>
                <w:b/>
                <w:sz w:val="24"/>
              </w:rPr>
            </w:pPr>
            <w:r w:rsidRPr="00282F33">
              <w:rPr>
                <w:b/>
                <w:sz w:val="24"/>
              </w:rPr>
              <w:t>Jautājumi</w:t>
            </w:r>
          </w:p>
        </w:tc>
        <w:tc>
          <w:tcPr>
            <w:tcW w:w="9013" w:type="dxa"/>
            <w:shd w:val="clear" w:color="auto" w:fill="D0CECE" w:themeFill="background2" w:themeFillShade="E6"/>
          </w:tcPr>
          <w:p w:rsidR="00282F33" w:rsidRPr="00282F33" w:rsidRDefault="00282F33">
            <w:pPr>
              <w:rPr>
                <w:b/>
                <w:sz w:val="24"/>
              </w:rPr>
            </w:pPr>
            <w:r w:rsidRPr="00282F33">
              <w:rPr>
                <w:b/>
                <w:sz w:val="24"/>
              </w:rPr>
              <w:t>Atbildes</w:t>
            </w:r>
          </w:p>
        </w:tc>
      </w:tr>
      <w:tr w:rsidR="00282F33" w:rsidTr="0047088F">
        <w:tc>
          <w:tcPr>
            <w:tcW w:w="943" w:type="dxa"/>
          </w:tcPr>
          <w:p w:rsidR="00282F33" w:rsidRPr="00282F33" w:rsidRDefault="00282F33">
            <w:pPr>
              <w:rPr>
                <w:rFonts w:cs="Times New Roman"/>
                <w:sz w:val="24"/>
                <w:szCs w:val="24"/>
              </w:rPr>
            </w:pPr>
            <w:r w:rsidRPr="00282F33">
              <w:rPr>
                <w:rFonts w:cs="Times New Roman"/>
                <w:sz w:val="24"/>
                <w:szCs w:val="24"/>
              </w:rPr>
              <w:t>1.</w:t>
            </w:r>
          </w:p>
        </w:tc>
        <w:tc>
          <w:tcPr>
            <w:tcW w:w="3992" w:type="dxa"/>
          </w:tcPr>
          <w:p w:rsidR="00282F33" w:rsidRPr="00282F33" w:rsidRDefault="00282F33" w:rsidP="00282F33">
            <w:pPr>
              <w:rPr>
                <w:rFonts w:cs="Times New Roman"/>
                <w:sz w:val="24"/>
                <w:szCs w:val="24"/>
              </w:rPr>
            </w:pPr>
            <w:r w:rsidRPr="00282F33">
              <w:rPr>
                <w:rFonts w:cs="Times New Roman"/>
                <w:sz w:val="24"/>
                <w:szCs w:val="24"/>
              </w:rPr>
              <w:t xml:space="preserve">Jautājums par projektu iesniegumu atlases (SAM 4.3.1.) nolikuma 21.30. punktu: </w:t>
            </w:r>
          </w:p>
          <w:p w:rsidR="00282F33" w:rsidRPr="00282F33" w:rsidRDefault="00282F33" w:rsidP="00282F33">
            <w:pPr>
              <w:rPr>
                <w:rFonts w:cs="Times New Roman"/>
                <w:i/>
                <w:sz w:val="24"/>
                <w:szCs w:val="24"/>
              </w:rPr>
            </w:pPr>
            <w:r w:rsidRPr="00282F33">
              <w:rPr>
                <w:rFonts w:cs="Times New Roman"/>
                <w:i/>
                <w:sz w:val="24"/>
                <w:szCs w:val="24"/>
              </w:rPr>
              <w:t>“21.30.        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p>
          <w:p w:rsidR="00282F33" w:rsidRPr="00282F33" w:rsidRDefault="00282F33" w:rsidP="00282F33">
            <w:pPr>
              <w:pStyle w:val="ListParagraph"/>
              <w:numPr>
                <w:ilvl w:val="0"/>
                <w:numId w:val="2"/>
              </w:numPr>
              <w:ind w:left="357" w:hanging="357"/>
              <w:rPr>
                <w:rFonts w:cs="Times New Roman"/>
                <w:i/>
                <w:sz w:val="24"/>
                <w:szCs w:val="24"/>
              </w:rPr>
            </w:pPr>
            <w:r w:rsidRPr="00282F33">
              <w:rPr>
                <w:rFonts w:cs="Times New Roman"/>
                <w:sz w:val="24"/>
                <w:szCs w:val="24"/>
              </w:rPr>
              <w:t xml:space="preserve">Cik detalizētai jābūt šai finanšu prognozei? </w:t>
            </w:r>
          </w:p>
          <w:p w:rsidR="00282F33" w:rsidRPr="00282F33" w:rsidRDefault="00282F33" w:rsidP="00282F33">
            <w:pPr>
              <w:pStyle w:val="ListParagraph"/>
              <w:numPr>
                <w:ilvl w:val="0"/>
                <w:numId w:val="2"/>
              </w:numPr>
              <w:ind w:left="357" w:hanging="357"/>
              <w:rPr>
                <w:rFonts w:cs="Times New Roman"/>
                <w:i/>
                <w:sz w:val="24"/>
                <w:szCs w:val="24"/>
              </w:rPr>
            </w:pPr>
            <w:r w:rsidRPr="00282F33">
              <w:rPr>
                <w:rFonts w:cs="Times New Roman"/>
                <w:sz w:val="24"/>
                <w:szCs w:val="24"/>
              </w:rPr>
              <w:t>Droši vien nav jāsniedz informācija par visu grupu, bet tikai par uzņēmumu, kas būs projekta iesniedzējs?  </w:t>
            </w:r>
            <w:r>
              <w:rPr>
                <w:rFonts w:cs="Times New Roman"/>
                <w:sz w:val="24"/>
                <w:szCs w:val="24"/>
              </w:rPr>
              <w:t xml:space="preserve"> </w:t>
            </w:r>
          </w:p>
          <w:p w:rsidR="00282F33" w:rsidRPr="00282F33" w:rsidRDefault="00282F33" w:rsidP="00282F33">
            <w:pPr>
              <w:pStyle w:val="ListParagraph"/>
              <w:numPr>
                <w:ilvl w:val="0"/>
                <w:numId w:val="2"/>
              </w:numPr>
              <w:ind w:left="357" w:hanging="357"/>
              <w:rPr>
                <w:rFonts w:cs="Times New Roman"/>
                <w:i/>
                <w:sz w:val="24"/>
                <w:szCs w:val="24"/>
              </w:rPr>
            </w:pPr>
            <w:r w:rsidRPr="00282F33">
              <w:rPr>
                <w:rFonts w:cs="Times New Roman"/>
                <w:sz w:val="24"/>
                <w:szCs w:val="24"/>
              </w:rPr>
              <w:t xml:space="preserve">Ja šī prognoze tiek iesniegta izmantojot Kohēzijas politikas fondu vadības informācijas sistēmas 2014.-2020.gadam (turpmāk – KPVIS), </w:t>
            </w:r>
            <w:r w:rsidRPr="00282F33">
              <w:rPr>
                <w:rFonts w:cs="Times New Roman"/>
                <w:sz w:val="24"/>
                <w:szCs w:val="24"/>
              </w:rPr>
              <w:br/>
              <w:t>   vai tiek garantēta iesniegtās konfidenciālas informācijas neizplatīšana?</w:t>
            </w:r>
          </w:p>
        </w:tc>
        <w:tc>
          <w:tcPr>
            <w:tcW w:w="9013" w:type="dxa"/>
          </w:tcPr>
          <w:p w:rsidR="00282F33" w:rsidRDefault="00282F33" w:rsidP="00282F33">
            <w:pPr>
              <w:rPr>
                <w:rFonts w:cs="Times New Roman"/>
                <w:sz w:val="24"/>
                <w:szCs w:val="24"/>
              </w:rPr>
            </w:pPr>
            <w:r w:rsidRPr="00282F33">
              <w:rPr>
                <w:rFonts w:cs="Times New Roman"/>
                <w:sz w:val="24"/>
                <w:szCs w:val="24"/>
              </w:rPr>
              <w:t xml:space="preserve">Atbilstoši atlases nolikuma 21.30 punktā noteiktajam, pietiekami ir, ja tiek sniegta informācija par projekta iesniedzēju nevis visu grupu. Finanšu prognozei nav jābūt ļoti detalizētai – tai jābūt sniegtai pa gadiem un jāatspoguļo ieguvumu jeb efektu, ko rada attiecīgā investīcija, respektīvi, lai būtu iespējams pārliecināties, ka investīcija nepasliktina uzņēmuma darbību. </w:t>
            </w:r>
          </w:p>
          <w:p w:rsidR="00282F33" w:rsidRPr="00282F33" w:rsidRDefault="00282F33" w:rsidP="00282F33">
            <w:pPr>
              <w:rPr>
                <w:rFonts w:cs="Times New Roman"/>
                <w:sz w:val="24"/>
                <w:szCs w:val="24"/>
              </w:rPr>
            </w:pPr>
          </w:p>
          <w:p w:rsidR="00282F33" w:rsidRDefault="00282F33">
            <w:r w:rsidRPr="00282F33">
              <w:rPr>
                <w:rFonts w:cs="Times New Roman"/>
                <w:sz w:val="24"/>
                <w:szCs w:val="24"/>
              </w:rPr>
              <w:t xml:space="preserve">Par konfidencialitāti – vērtēšanas komisijas locekļiem nav tiesību izpaust informāciju tālāk trešajām personām, t.sk. uzsākot darbu komisijā katrs komisijas loceklis paraksta apliecinājumu par konfidencialitāti, līdz ar to iesniegtā informācija netiek izpausta trešajām personām. Eiropas Savienības struktūrfondu un Kohēzijas fonda 2014.—2020.gada plānošanas perioda vadības likuma 35.pantā noteikts, ka </w:t>
            </w:r>
            <w:r w:rsidRPr="00282F33">
              <w:rPr>
                <w:rFonts w:cs="Times New Roman"/>
                <w:i/>
                <w:sz w:val="24"/>
                <w:szCs w:val="24"/>
              </w:rPr>
              <w:t>“juridiskās personas projekta lieta ir ierobežotas pieejamības informācija līdz brīdim, kad stājies spēkā lēmums par projekta iesnieguma apstiprināšanu vai noraidīšanu vai atzinums par lēmumā ietverto nosacījumu izpildi. Pēc minētā lēmuma vai atzinuma spēkā stāšanās projekta lieta ir pieejama </w:t>
            </w:r>
            <w:hyperlink r:id="rId5" w:tgtFrame="_blank" w:history="1">
              <w:r w:rsidRPr="00282F33">
                <w:rPr>
                  <w:rFonts w:cs="Times New Roman"/>
                  <w:i/>
                  <w:sz w:val="24"/>
                  <w:szCs w:val="24"/>
                </w:rPr>
                <w:t>Informācijas atklātības likumā</w:t>
              </w:r>
            </w:hyperlink>
            <w:r w:rsidRPr="00282F33">
              <w:rPr>
                <w:rFonts w:cs="Times New Roman"/>
                <w:i/>
                <w:sz w:val="24"/>
                <w:szCs w:val="24"/>
              </w:rPr>
              <w:t> un regulas Nr. </w:t>
            </w:r>
            <w:hyperlink r:id="rId6" w:tgtFrame="_blank" w:history="1">
              <w:r w:rsidRPr="00282F33">
                <w:rPr>
                  <w:rFonts w:cs="Times New Roman"/>
                  <w:i/>
                  <w:sz w:val="24"/>
                  <w:szCs w:val="24"/>
                </w:rPr>
                <w:t>1303/2013</w:t>
              </w:r>
            </w:hyperlink>
            <w:r w:rsidRPr="00282F33">
              <w:rPr>
                <w:rFonts w:cs="Times New Roman"/>
                <w:i/>
                <w:sz w:val="24"/>
                <w:szCs w:val="24"/>
              </w:rPr>
              <w:t> 115.panta 2.punktā un XII pielikumā noteiktajā apjomā un kārtībā.”</w:t>
            </w:r>
          </w:p>
        </w:tc>
      </w:tr>
      <w:tr w:rsidR="00282F33" w:rsidTr="0047088F">
        <w:tc>
          <w:tcPr>
            <w:tcW w:w="943" w:type="dxa"/>
          </w:tcPr>
          <w:p w:rsidR="00282F33" w:rsidRDefault="00282F33">
            <w:r>
              <w:t>2.</w:t>
            </w:r>
          </w:p>
        </w:tc>
        <w:tc>
          <w:tcPr>
            <w:tcW w:w="3992" w:type="dxa"/>
          </w:tcPr>
          <w:p w:rsidR="00EE595F" w:rsidRPr="00EE595F" w:rsidRDefault="00EE595F" w:rsidP="00EE595F">
            <w:pPr>
              <w:rPr>
                <w:rFonts w:cs="Times New Roman"/>
                <w:sz w:val="24"/>
                <w:szCs w:val="24"/>
              </w:rPr>
            </w:pPr>
            <w:r w:rsidRPr="00EE595F">
              <w:rPr>
                <w:rFonts w:cs="Times New Roman"/>
                <w:sz w:val="24"/>
                <w:szCs w:val="24"/>
              </w:rPr>
              <w:t xml:space="preserve">Konsultatīvas izmaksas (skiču projektu izstrāde, pakalpojums būvniecības </w:t>
            </w:r>
            <w:r w:rsidRPr="00EE595F">
              <w:rPr>
                <w:rFonts w:cs="Times New Roman"/>
                <w:sz w:val="24"/>
                <w:szCs w:val="24"/>
              </w:rPr>
              <w:lastRenderedPageBreak/>
              <w:t xml:space="preserve">ieceres iesnieguma sagatavošanai un iesniegšanai) ir jāiekļauj kopējās investīcijās? </w:t>
            </w:r>
          </w:p>
          <w:p w:rsidR="00EE595F" w:rsidRPr="00EE595F" w:rsidRDefault="00EE595F" w:rsidP="00EE595F">
            <w:pPr>
              <w:rPr>
                <w:rFonts w:cs="Times New Roman"/>
                <w:sz w:val="24"/>
                <w:szCs w:val="24"/>
              </w:rPr>
            </w:pPr>
            <w:r w:rsidRPr="00EE595F">
              <w:rPr>
                <w:rFonts w:cs="Times New Roman"/>
                <w:sz w:val="24"/>
                <w:szCs w:val="24"/>
              </w:rPr>
              <w:t>Ja tās nav iekļautas kopējās investīcijās, vai tad būs iespēja pretendent uz finansējumu, kas paredzēts tehniskās dokumentācijas sagatavošanai (</w:t>
            </w:r>
            <w:proofErr w:type="spellStart"/>
            <w:r w:rsidRPr="00EE595F">
              <w:rPr>
                <w:rFonts w:cs="Times New Roman"/>
                <w:sz w:val="24"/>
                <w:szCs w:val="24"/>
              </w:rPr>
              <w:t>de</w:t>
            </w:r>
            <w:proofErr w:type="spellEnd"/>
            <w:r w:rsidRPr="00EE595F">
              <w:rPr>
                <w:rFonts w:cs="Times New Roman"/>
                <w:sz w:val="24"/>
                <w:szCs w:val="24"/>
              </w:rPr>
              <w:t xml:space="preserve"> </w:t>
            </w:r>
            <w:proofErr w:type="spellStart"/>
            <w:r w:rsidRPr="00EE595F">
              <w:rPr>
                <w:rFonts w:cs="Times New Roman"/>
                <w:sz w:val="24"/>
                <w:szCs w:val="24"/>
              </w:rPr>
              <w:t>minimis</w:t>
            </w:r>
            <w:proofErr w:type="spellEnd"/>
            <w:r w:rsidRPr="00EE595F">
              <w:rPr>
                <w:rFonts w:cs="Times New Roman"/>
                <w:sz w:val="24"/>
                <w:szCs w:val="24"/>
              </w:rPr>
              <w:t xml:space="preserve">) </w:t>
            </w:r>
          </w:p>
          <w:p w:rsidR="00282F33" w:rsidRDefault="00282F33"/>
        </w:tc>
        <w:tc>
          <w:tcPr>
            <w:tcW w:w="9013" w:type="dxa"/>
          </w:tcPr>
          <w:p w:rsidR="00EE595F" w:rsidRPr="00EE595F" w:rsidRDefault="00EE595F" w:rsidP="00EE595F">
            <w:pPr>
              <w:rPr>
                <w:rFonts w:cs="Times New Roman"/>
                <w:sz w:val="24"/>
                <w:szCs w:val="24"/>
              </w:rPr>
            </w:pPr>
            <w:r w:rsidRPr="00EE595F">
              <w:rPr>
                <w:rFonts w:cs="Times New Roman"/>
                <w:sz w:val="24"/>
                <w:szCs w:val="24"/>
              </w:rPr>
              <w:lastRenderedPageBreak/>
              <w:t xml:space="preserve">Ja jūs vēlaties saņemt atbalstu par šīm darbībām, protams, ka Jums tās ir jāiekļauj projektā, t.sk. jānorāda projekta iesnieguma 3.pielikumā “ Projekta budžeta kopsavilkums”. </w:t>
            </w:r>
          </w:p>
          <w:p w:rsidR="00EE595F" w:rsidRPr="00EE595F" w:rsidRDefault="00EE595F" w:rsidP="00EE595F">
            <w:pPr>
              <w:rPr>
                <w:rFonts w:cs="Times New Roman"/>
                <w:sz w:val="24"/>
                <w:szCs w:val="24"/>
              </w:rPr>
            </w:pPr>
            <w:r w:rsidRPr="00EE595F">
              <w:rPr>
                <w:rFonts w:cs="Times New Roman"/>
                <w:sz w:val="24"/>
                <w:szCs w:val="24"/>
              </w:rPr>
              <w:lastRenderedPageBreak/>
              <w:t xml:space="preserve">Ja Jūs runājat par </w:t>
            </w:r>
            <w:proofErr w:type="spellStart"/>
            <w:r w:rsidRPr="00EE595F">
              <w:rPr>
                <w:rFonts w:cs="Times New Roman"/>
                <w:sz w:val="24"/>
                <w:szCs w:val="24"/>
              </w:rPr>
              <w:t>de</w:t>
            </w:r>
            <w:proofErr w:type="spellEnd"/>
            <w:r w:rsidRPr="00EE595F">
              <w:rPr>
                <w:rFonts w:cs="Times New Roman"/>
                <w:sz w:val="24"/>
                <w:szCs w:val="24"/>
              </w:rPr>
              <w:t xml:space="preserve"> </w:t>
            </w:r>
            <w:proofErr w:type="spellStart"/>
            <w:r w:rsidRPr="00EE595F">
              <w:rPr>
                <w:rFonts w:cs="Times New Roman"/>
                <w:sz w:val="24"/>
                <w:szCs w:val="24"/>
              </w:rPr>
              <w:t>minimis</w:t>
            </w:r>
            <w:proofErr w:type="spellEnd"/>
            <w:r w:rsidRPr="00EE595F">
              <w:rPr>
                <w:rFonts w:cs="Times New Roman"/>
                <w:sz w:val="24"/>
                <w:szCs w:val="24"/>
              </w:rPr>
              <w:t xml:space="preserve"> atbalstu, tad MK noteikumu VI sadaļā noteikta </w:t>
            </w:r>
            <w:proofErr w:type="spellStart"/>
            <w:r w:rsidRPr="00EE595F">
              <w:rPr>
                <w:rFonts w:cs="Times New Roman"/>
                <w:sz w:val="24"/>
                <w:szCs w:val="24"/>
              </w:rPr>
              <w:t>de</w:t>
            </w:r>
            <w:proofErr w:type="spellEnd"/>
            <w:r w:rsidRPr="00EE595F">
              <w:rPr>
                <w:rFonts w:cs="Times New Roman"/>
                <w:sz w:val="24"/>
                <w:szCs w:val="24"/>
              </w:rPr>
              <w:t xml:space="preserve"> </w:t>
            </w:r>
            <w:proofErr w:type="spellStart"/>
            <w:r w:rsidRPr="00EE595F">
              <w:rPr>
                <w:rFonts w:cs="Times New Roman"/>
                <w:sz w:val="24"/>
                <w:szCs w:val="24"/>
              </w:rPr>
              <w:t>minimis</w:t>
            </w:r>
            <w:proofErr w:type="spellEnd"/>
            <w:r w:rsidRPr="00EE595F">
              <w:rPr>
                <w:rFonts w:cs="Times New Roman"/>
                <w:sz w:val="24"/>
                <w:szCs w:val="24"/>
              </w:rPr>
              <w:t xml:space="preserve"> atbalsta kārtība šī SAM ietvaros. </w:t>
            </w:r>
          </w:p>
          <w:p w:rsidR="00EE595F" w:rsidRPr="00EE595F" w:rsidRDefault="00EE595F" w:rsidP="00EE595F">
            <w:pPr>
              <w:rPr>
                <w:rFonts w:cs="Times New Roman"/>
                <w:sz w:val="24"/>
                <w:szCs w:val="24"/>
              </w:rPr>
            </w:pPr>
            <w:r>
              <w:rPr>
                <w:rFonts w:cs="Times New Roman"/>
                <w:sz w:val="24"/>
                <w:szCs w:val="24"/>
              </w:rPr>
              <w:t>46. punkts nosaka “</w:t>
            </w:r>
            <w:r w:rsidRPr="00EE595F">
              <w:rPr>
                <w:rFonts w:cs="Times New Roman"/>
                <w:sz w:val="24"/>
                <w:szCs w:val="24"/>
              </w:rPr>
              <w:t xml:space="preserve">Finansējumu atlases kārtas ietvaros šo noteikumu 24.1. un 24.2. apakšpunktā minēto izmaksu segšanai, kas radušās ne agrāk, kā no 2017. gada 30. jūnija, sniedz saskaņā ar Komisijas regulu Nr. 1407/2013.” </w:t>
            </w:r>
          </w:p>
          <w:p w:rsidR="00EE595F" w:rsidRPr="00EE595F" w:rsidRDefault="00EE595F" w:rsidP="00EE595F">
            <w:pPr>
              <w:rPr>
                <w:rFonts w:cs="Times New Roman"/>
                <w:sz w:val="24"/>
                <w:szCs w:val="24"/>
              </w:rPr>
            </w:pPr>
            <w:r w:rsidRPr="00EE595F">
              <w:rPr>
                <w:rFonts w:cs="Times New Roman"/>
                <w:sz w:val="24"/>
                <w:szCs w:val="24"/>
              </w:rPr>
              <w:t xml:space="preserve">24.1. apakšpunktā noteiktās izmaksas ir sākotnējā ietekmes uz vidi </w:t>
            </w:r>
            <w:proofErr w:type="spellStart"/>
            <w:r w:rsidRPr="00EE595F">
              <w:rPr>
                <w:rFonts w:cs="Times New Roman"/>
                <w:sz w:val="24"/>
                <w:szCs w:val="24"/>
              </w:rPr>
              <w:t>izvērtējuma</w:t>
            </w:r>
            <w:proofErr w:type="spellEnd"/>
            <w:r w:rsidRPr="00EE595F">
              <w:rPr>
                <w:rFonts w:cs="Times New Roman"/>
                <w:sz w:val="24"/>
                <w:szCs w:val="24"/>
              </w:rPr>
              <w:t xml:space="preserve"> un ietekmes uz vidi novērtējuma, un tā izstrādes izmaksas, projekta iesniegumu pamatojošās dokumentācijas sagatavošanas izmaksas un 24.2. apakšpunktā noteiktās izmaksas ir būvprojekta tehniskā projekta vai skiču projekta sagatavošanas izmaksas.</w:t>
            </w:r>
          </w:p>
          <w:p w:rsidR="00EE595F" w:rsidRPr="00EE595F" w:rsidRDefault="00EE595F" w:rsidP="00EE595F">
            <w:pPr>
              <w:rPr>
                <w:rFonts w:cs="Times New Roman"/>
                <w:sz w:val="24"/>
                <w:szCs w:val="24"/>
              </w:rPr>
            </w:pPr>
          </w:p>
          <w:p w:rsidR="00EE595F" w:rsidRPr="00EE595F" w:rsidRDefault="00EE595F" w:rsidP="00EE595F">
            <w:pPr>
              <w:rPr>
                <w:rFonts w:cs="Times New Roman"/>
                <w:sz w:val="24"/>
                <w:szCs w:val="24"/>
              </w:rPr>
            </w:pPr>
            <w:r w:rsidRPr="00EE595F">
              <w:rPr>
                <w:rFonts w:cs="Times New Roman"/>
                <w:sz w:val="24"/>
                <w:szCs w:val="24"/>
              </w:rPr>
              <w:t>Ja projektā Jums tiek plānotas šādas darbības un to izmaksas plānotas kā attiecināmās, tās ir skaidri jāizdala projekta iesniegumā kā arī Jums nepieciešams iesniegt uzskaites veidlapu par sniedzamo informāciju </w:t>
            </w:r>
            <w:proofErr w:type="spellStart"/>
            <w:r w:rsidRPr="00EE595F">
              <w:rPr>
                <w:rFonts w:cs="Times New Roman"/>
                <w:sz w:val="24"/>
                <w:szCs w:val="24"/>
              </w:rPr>
              <w:t>de</w:t>
            </w:r>
            <w:proofErr w:type="spellEnd"/>
            <w:r w:rsidRPr="00EE595F">
              <w:rPr>
                <w:rFonts w:cs="Times New Roman"/>
                <w:sz w:val="24"/>
                <w:szCs w:val="24"/>
              </w:rPr>
              <w:t xml:space="preserve"> </w:t>
            </w:r>
            <w:proofErr w:type="spellStart"/>
            <w:r w:rsidRPr="00EE595F">
              <w:rPr>
                <w:rFonts w:cs="Times New Roman"/>
                <w:sz w:val="24"/>
                <w:szCs w:val="24"/>
              </w:rPr>
              <w:t>minimis</w:t>
            </w:r>
            <w:proofErr w:type="spellEnd"/>
            <w:r w:rsidRPr="00EE595F">
              <w:rPr>
                <w:rFonts w:cs="Times New Roman"/>
                <w:sz w:val="24"/>
                <w:szCs w:val="24"/>
              </w:rPr>
              <w:t> atbalsta piešķiršanai (saskaņā ar Ministru kabineta 2014.gada 2.decembra noteikumu Nr.740 1.pielikumu), t.sk. 2.1.punktā  norādot informāciju par </w:t>
            </w:r>
            <w:proofErr w:type="spellStart"/>
            <w:r w:rsidRPr="00EE595F">
              <w:rPr>
                <w:rFonts w:cs="Times New Roman"/>
                <w:sz w:val="24"/>
                <w:szCs w:val="24"/>
              </w:rPr>
              <w:t>de</w:t>
            </w:r>
            <w:proofErr w:type="spellEnd"/>
            <w:r w:rsidRPr="00EE595F">
              <w:rPr>
                <w:rFonts w:cs="Times New Roman"/>
                <w:sz w:val="24"/>
                <w:szCs w:val="24"/>
              </w:rPr>
              <w:t xml:space="preserve"> </w:t>
            </w:r>
            <w:proofErr w:type="spellStart"/>
            <w:r w:rsidRPr="00EE595F">
              <w:rPr>
                <w:rFonts w:cs="Times New Roman"/>
                <w:sz w:val="24"/>
                <w:szCs w:val="24"/>
              </w:rPr>
              <w:t>minimis</w:t>
            </w:r>
            <w:proofErr w:type="spellEnd"/>
            <w:r w:rsidRPr="00EE595F">
              <w:rPr>
                <w:rFonts w:cs="Times New Roman"/>
                <w:sz w:val="24"/>
                <w:szCs w:val="24"/>
              </w:rPr>
              <w:t xml:space="preserve"> atbalsta pretendenta kārtējā gadā un iepriekšējos divos fiskālajos gados saņemto </w:t>
            </w:r>
            <w:proofErr w:type="spellStart"/>
            <w:r w:rsidRPr="00EE595F">
              <w:rPr>
                <w:rFonts w:cs="Times New Roman"/>
                <w:sz w:val="24"/>
                <w:szCs w:val="24"/>
              </w:rPr>
              <w:t>de</w:t>
            </w:r>
            <w:proofErr w:type="spellEnd"/>
            <w:r w:rsidRPr="00EE595F">
              <w:rPr>
                <w:rFonts w:cs="Times New Roman"/>
                <w:sz w:val="24"/>
                <w:szCs w:val="24"/>
              </w:rPr>
              <w:t xml:space="preserve"> </w:t>
            </w:r>
            <w:proofErr w:type="spellStart"/>
            <w:r w:rsidRPr="00EE595F">
              <w:rPr>
                <w:rFonts w:cs="Times New Roman"/>
                <w:sz w:val="24"/>
                <w:szCs w:val="24"/>
              </w:rPr>
              <w:t>minimis</w:t>
            </w:r>
            <w:proofErr w:type="spellEnd"/>
            <w:r w:rsidRPr="00EE595F">
              <w:rPr>
                <w:rFonts w:cs="Times New Roman"/>
                <w:sz w:val="24"/>
                <w:szCs w:val="24"/>
              </w:rPr>
              <w:t> atbalstu.</w:t>
            </w:r>
          </w:p>
          <w:p w:rsidR="00282F33" w:rsidRPr="00EE595F" w:rsidRDefault="00282F33">
            <w:pPr>
              <w:rPr>
                <w:rFonts w:cs="Times New Roman"/>
                <w:sz w:val="24"/>
                <w:szCs w:val="24"/>
              </w:rPr>
            </w:pPr>
          </w:p>
        </w:tc>
      </w:tr>
      <w:tr w:rsidR="00282F33" w:rsidTr="0047088F">
        <w:tc>
          <w:tcPr>
            <w:tcW w:w="943" w:type="dxa"/>
          </w:tcPr>
          <w:p w:rsidR="00282F33" w:rsidRDefault="00020C29">
            <w:r>
              <w:lastRenderedPageBreak/>
              <w:t>3.</w:t>
            </w:r>
          </w:p>
        </w:tc>
        <w:tc>
          <w:tcPr>
            <w:tcW w:w="3992" w:type="dxa"/>
          </w:tcPr>
          <w:p w:rsidR="00282F33" w:rsidRDefault="00020C29" w:rsidP="00020C29">
            <w:r>
              <w:t xml:space="preserve">Vai projekta iesnieguma 3.3.punktā jānorāda informācija </w:t>
            </w:r>
            <w:r w:rsidRPr="00020C29">
              <w:rPr>
                <w:rFonts w:ascii="Arial" w:hAnsi="Arial" w:cs="Arial"/>
                <w:bCs/>
                <w:sz w:val="20"/>
                <w:szCs w:val="20"/>
              </w:rPr>
              <w:t>tikai</w:t>
            </w:r>
            <w:r>
              <w:rPr>
                <w:rFonts w:ascii="Arial" w:hAnsi="Arial" w:cs="Arial"/>
                <w:sz w:val="20"/>
                <w:szCs w:val="20"/>
              </w:rPr>
              <w:t xml:space="preserve"> par projektu, kas tiek pieteikts līdzfinansējumam?</w:t>
            </w:r>
          </w:p>
        </w:tc>
        <w:tc>
          <w:tcPr>
            <w:tcW w:w="9013" w:type="dxa"/>
          </w:tcPr>
          <w:p w:rsidR="00020C29" w:rsidRDefault="00020C29" w:rsidP="00020C29">
            <w:pPr>
              <w:rPr>
                <w:rFonts w:ascii="Calibri" w:hAnsi="Calibri" w:cs="Times New Roman"/>
                <w:color w:val="1F497D"/>
              </w:rPr>
            </w:pPr>
            <w:r w:rsidRPr="00020C29">
              <w:rPr>
                <w:rFonts w:cs="Times New Roman"/>
                <w:sz w:val="24"/>
                <w:szCs w:val="24"/>
              </w:rPr>
              <w:t>Jā, projekta iesnieguma 3.3.punktā Jūs norādiet informāciju tikai par konkrēto projektu.</w:t>
            </w:r>
          </w:p>
          <w:p w:rsidR="00282F33" w:rsidRDefault="00282F33"/>
        </w:tc>
      </w:tr>
      <w:tr w:rsidR="00282F33" w:rsidTr="0047088F">
        <w:tc>
          <w:tcPr>
            <w:tcW w:w="943" w:type="dxa"/>
          </w:tcPr>
          <w:p w:rsidR="00282F33" w:rsidRDefault="00020C29">
            <w:r>
              <w:t>4.</w:t>
            </w:r>
          </w:p>
        </w:tc>
        <w:tc>
          <w:tcPr>
            <w:tcW w:w="3992" w:type="dxa"/>
          </w:tcPr>
          <w:p w:rsidR="00020C29" w:rsidRDefault="00020C29" w:rsidP="00020C29">
            <w:pPr>
              <w:rPr>
                <w:rFonts w:cs="Times New Roman"/>
              </w:rPr>
            </w:pPr>
            <w:r>
              <w:rPr>
                <w:b/>
                <w:bCs/>
              </w:rPr>
              <w:t xml:space="preserve">Par </w:t>
            </w:r>
            <w:proofErr w:type="spellStart"/>
            <w:r>
              <w:rPr>
                <w:b/>
                <w:bCs/>
              </w:rPr>
              <w:t>deminimis</w:t>
            </w:r>
            <w:proofErr w:type="spellEnd"/>
            <w:r>
              <w:rPr>
                <w:b/>
                <w:bCs/>
              </w:rPr>
              <w:t xml:space="preserve"> veidlapu:</w:t>
            </w:r>
          </w:p>
          <w:p w:rsidR="00020C29" w:rsidRDefault="00020C29" w:rsidP="00020C29">
            <w:r>
              <w:t xml:space="preserve">Ja tagad sniedzam projektu par </w:t>
            </w:r>
            <w:proofErr w:type="spellStart"/>
            <w:r>
              <w:t>siltumavotu</w:t>
            </w:r>
            <w:proofErr w:type="spellEnd"/>
            <w:r>
              <w:t xml:space="preserve">, vai </w:t>
            </w:r>
            <w:proofErr w:type="spellStart"/>
            <w:r w:rsidRPr="00020C29">
              <w:rPr>
                <w:i/>
              </w:rPr>
              <w:t>de</w:t>
            </w:r>
            <w:proofErr w:type="spellEnd"/>
            <w:r w:rsidRPr="00020C29">
              <w:rPr>
                <w:i/>
              </w:rPr>
              <w:t xml:space="preserve"> </w:t>
            </w:r>
            <w:proofErr w:type="spellStart"/>
            <w:r w:rsidRPr="00020C29">
              <w:rPr>
                <w:i/>
              </w:rPr>
              <w:t>minimis</w:t>
            </w:r>
            <w:proofErr w:type="spellEnd"/>
            <w:r>
              <w:t xml:space="preserve"> veidlapā jānorāda plānotās demontāžas izmaksas SAM atlases pirmajā kārtā iesniegtajiem siltumtrašu projektiem? </w:t>
            </w:r>
          </w:p>
          <w:p w:rsidR="00020C29" w:rsidRDefault="00020C29" w:rsidP="00020C29">
            <w:pPr>
              <w:rPr>
                <w:b/>
                <w:bCs/>
              </w:rPr>
            </w:pPr>
          </w:p>
          <w:p w:rsidR="00020C29" w:rsidRDefault="00020C29" w:rsidP="00020C29">
            <w:r>
              <w:rPr>
                <w:b/>
                <w:bCs/>
              </w:rPr>
              <w:t>Par projektēšanu + būvniecību:</w:t>
            </w:r>
            <w:r>
              <w:t> </w:t>
            </w:r>
          </w:p>
          <w:p w:rsidR="00020C29" w:rsidRDefault="00020C29" w:rsidP="00020C29">
            <w:r>
              <w:t xml:space="preserve">vai nav ierobežojumu un varam paredzēt veikt vienu iepirkumu un slēgt vienu līgumu visām darbībām? Vai tomēr </w:t>
            </w:r>
            <w:r>
              <w:lastRenderedPageBreak/>
              <w:t>projektēšanai savs iepirkums un līgums, būvdarbiem un iekārtām savs iepirkums un līgums?</w:t>
            </w:r>
          </w:p>
          <w:p w:rsidR="00282F33" w:rsidRDefault="00282F33"/>
        </w:tc>
        <w:tc>
          <w:tcPr>
            <w:tcW w:w="9013" w:type="dxa"/>
          </w:tcPr>
          <w:p w:rsidR="00020C29" w:rsidRPr="00020C29" w:rsidRDefault="00020C29" w:rsidP="00020C29">
            <w:pPr>
              <w:rPr>
                <w:rFonts w:cs="Times New Roman"/>
                <w:b/>
                <w:bCs/>
              </w:rPr>
            </w:pPr>
            <w:r w:rsidRPr="00020C29">
              <w:rPr>
                <w:rFonts w:cs="Times New Roman"/>
                <w:b/>
                <w:bCs/>
              </w:rPr>
              <w:lastRenderedPageBreak/>
              <w:t xml:space="preserve">Par </w:t>
            </w:r>
            <w:proofErr w:type="spellStart"/>
            <w:r w:rsidRPr="00020C29">
              <w:rPr>
                <w:rFonts w:cs="Times New Roman"/>
                <w:b/>
                <w:bCs/>
                <w:i/>
                <w:iCs/>
              </w:rPr>
              <w:t>de</w:t>
            </w:r>
            <w:proofErr w:type="spellEnd"/>
            <w:r w:rsidRPr="00020C29">
              <w:rPr>
                <w:rFonts w:cs="Times New Roman"/>
                <w:b/>
                <w:bCs/>
                <w:i/>
                <w:iCs/>
              </w:rPr>
              <w:t xml:space="preserve"> </w:t>
            </w:r>
            <w:proofErr w:type="spellStart"/>
            <w:r w:rsidRPr="00020C29">
              <w:rPr>
                <w:rFonts w:cs="Times New Roman"/>
                <w:b/>
                <w:bCs/>
                <w:i/>
                <w:iCs/>
              </w:rPr>
              <w:t>minimis</w:t>
            </w:r>
            <w:proofErr w:type="spellEnd"/>
            <w:r w:rsidRPr="00020C29">
              <w:rPr>
                <w:rFonts w:cs="Times New Roman"/>
                <w:b/>
                <w:bCs/>
              </w:rPr>
              <w:t xml:space="preserve"> veidlapu:</w:t>
            </w:r>
          </w:p>
          <w:p w:rsidR="00020C29" w:rsidRPr="00020C29" w:rsidRDefault="00020C29" w:rsidP="00020C29">
            <w:pPr>
              <w:rPr>
                <w:rFonts w:cs="Times New Roman"/>
              </w:rPr>
            </w:pPr>
            <w:r w:rsidRPr="00020C29">
              <w:rPr>
                <w:rFonts w:cs="Times New Roman"/>
              </w:rPr>
              <w:t>Atbilstoši Uzskaites veidlapas par sniedzamo informāciju </w:t>
            </w:r>
            <w:proofErr w:type="spellStart"/>
            <w:r w:rsidRPr="00020C29">
              <w:rPr>
                <w:rFonts w:cs="Times New Roman"/>
                <w:i/>
                <w:iCs/>
              </w:rPr>
              <w:t>de</w:t>
            </w:r>
            <w:proofErr w:type="spellEnd"/>
            <w:r w:rsidRPr="00020C29">
              <w:rPr>
                <w:rFonts w:cs="Times New Roman"/>
                <w:i/>
                <w:iCs/>
              </w:rPr>
              <w:t xml:space="preserve"> </w:t>
            </w:r>
            <w:proofErr w:type="spellStart"/>
            <w:r w:rsidRPr="00020C29">
              <w:rPr>
                <w:rFonts w:cs="Times New Roman"/>
                <w:i/>
                <w:iCs/>
              </w:rPr>
              <w:t>minimis</w:t>
            </w:r>
            <w:proofErr w:type="spellEnd"/>
            <w:r w:rsidRPr="00020C29">
              <w:rPr>
                <w:rFonts w:cs="Times New Roman"/>
              </w:rPr>
              <w:t> atbalsta piešķiršanai 2.1.punkta prasībām (Ministru Kabineta 2014.gada 2.decembra noteikumu Nr.740 “</w:t>
            </w:r>
            <w:proofErr w:type="spellStart"/>
            <w:r w:rsidRPr="00020C29">
              <w:rPr>
                <w:rFonts w:cs="Times New Roman"/>
                <w:i/>
                <w:iCs/>
              </w:rPr>
              <w:t>De</w:t>
            </w:r>
            <w:proofErr w:type="spellEnd"/>
            <w:r w:rsidRPr="00020C29">
              <w:rPr>
                <w:rFonts w:cs="Times New Roman"/>
                <w:i/>
                <w:iCs/>
              </w:rPr>
              <w:t xml:space="preserve"> </w:t>
            </w:r>
            <w:proofErr w:type="spellStart"/>
            <w:r w:rsidRPr="00020C29">
              <w:rPr>
                <w:rFonts w:cs="Times New Roman"/>
                <w:i/>
                <w:iCs/>
              </w:rPr>
              <w:t>minimis</w:t>
            </w:r>
            <w:proofErr w:type="spellEnd"/>
            <w:r w:rsidRPr="00020C29">
              <w:rPr>
                <w:rFonts w:cs="Times New Roman"/>
              </w:rPr>
              <w:t xml:space="preserve"> atbalsta uzskaites un piešķiršanas kārtība un uzskaites veidlapu paraugi” 1.pielikums), </w:t>
            </w:r>
            <w:r w:rsidRPr="00020C29">
              <w:rPr>
                <w:rFonts w:cs="Times New Roman"/>
                <w:u w:val="single"/>
              </w:rPr>
              <w:t>veidlapā ir jānorāda informācija par </w:t>
            </w:r>
            <w:proofErr w:type="spellStart"/>
            <w:r w:rsidRPr="00020C29">
              <w:rPr>
                <w:rFonts w:cs="Times New Roman"/>
                <w:i/>
                <w:iCs/>
                <w:u w:val="single"/>
              </w:rPr>
              <w:t>de</w:t>
            </w:r>
            <w:proofErr w:type="spellEnd"/>
            <w:r w:rsidRPr="00020C29">
              <w:rPr>
                <w:rFonts w:cs="Times New Roman"/>
                <w:i/>
                <w:iCs/>
                <w:u w:val="single"/>
              </w:rPr>
              <w:t xml:space="preserve"> </w:t>
            </w:r>
            <w:proofErr w:type="spellStart"/>
            <w:r w:rsidRPr="00020C29">
              <w:rPr>
                <w:rFonts w:cs="Times New Roman"/>
                <w:i/>
                <w:iCs/>
                <w:u w:val="single"/>
              </w:rPr>
              <w:t>minimis</w:t>
            </w:r>
            <w:proofErr w:type="spellEnd"/>
            <w:r w:rsidRPr="00020C29">
              <w:rPr>
                <w:rFonts w:cs="Times New Roman"/>
                <w:u w:val="single"/>
              </w:rPr>
              <w:t xml:space="preserve"> atbalsta pretendenta kārtējā gadā un iepriekšējos divos fiskālajos gados saņemto </w:t>
            </w:r>
            <w:proofErr w:type="spellStart"/>
            <w:r w:rsidRPr="00020C29">
              <w:rPr>
                <w:rFonts w:cs="Times New Roman"/>
                <w:i/>
                <w:iCs/>
                <w:u w:val="single"/>
              </w:rPr>
              <w:t>de</w:t>
            </w:r>
            <w:proofErr w:type="spellEnd"/>
            <w:r w:rsidRPr="00020C29">
              <w:rPr>
                <w:rFonts w:cs="Times New Roman"/>
                <w:i/>
                <w:iCs/>
                <w:u w:val="single"/>
              </w:rPr>
              <w:t xml:space="preserve"> </w:t>
            </w:r>
            <w:proofErr w:type="spellStart"/>
            <w:r w:rsidRPr="00020C29">
              <w:rPr>
                <w:rFonts w:cs="Times New Roman"/>
                <w:i/>
                <w:iCs/>
                <w:u w:val="single"/>
              </w:rPr>
              <w:t>minimis</w:t>
            </w:r>
            <w:proofErr w:type="spellEnd"/>
            <w:r w:rsidRPr="00020C29">
              <w:rPr>
                <w:rFonts w:cs="Times New Roman"/>
                <w:u w:val="single"/>
              </w:rPr>
              <w:t> atbalstu</w:t>
            </w:r>
            <w:r w:rsidRPr="00020C29">
              <w:rPr>
                <w:rFonts w:cs="Times New Roman"/>
              </w:rPr>
              <w:t>, kas piešķirts saskaņā ar Komisijas 2006. gada 15. decembra Regulu Nr. </w:t>
            </w:r>
            <w:hyperlink r:id="rId7" w:tgtFrame="_blank" w:history="1">
              <w:r w:rsidRPr="00020C29">
                <w:rPr>
                  <w:rStyle w:val="Hyperlink"/>
                  <w:rFonts w:cs="Times New Roman"/>
                  <w:color w:val="auto"/>
                </w:rPr>
                <w:t>1998/2006</w:t>
              </w:r>
            </w:hyperlink>
            <w:r w:rsidRPr="00020C29">
              <w:rPr>
                <w:rFonts w:cs="Times New Roman"/>
              </w:rPr>
              <w:t>, Komisijas 2012. gada 25. aprīļa Regulu Nr. </w:t>
            </w:r>
            <w:hyperlink r:id="rId8" w:tgtFrame="_blank" w:history="1">
              <w:r w:rsidRPr="00020C29">
                <w:rPr>
                  <w:rStyle w:val="Hyperlink"/>
                  <w:rFonts w:cs="Times New Roman"/>
                  <w:color w:val="auto"/>
                </w:rPr>
                <w:t>360/2012</w:t>
              </w:r>
            </w:hyperlink>
            <w:r w:rsidRPr="00020C29">
              <w:rPr>
                <w:rFonts w:cs="Times New Roman"/>
              </w:rPr>
              <w:t>, Komisijas 2013. gada 18. decembra Regulu Nr. </w:t>
            </w:r>
            <w:hyperlink r:id="rId9" w:tgtFrame="_blank" w:history="1">
              <w:r w:rsidRPr="00020C29">
                <w:rPr>
                  <w:rStyle w:val="Hyperlink"/>
                  <w:rFonts w:cs="Times New Roman"/>
                  <w:color w:val="auto"/>
                </w:rPr>
                <w:t>1408/2013</w:t>
              </w:r>
            </w:hyperlink>
            <w:r w:rsidRPr="00020C29">
              <w:rPr>
                <w:rFonts w:cs="Times New Roman"/>
              </w:rPr>
              <w:t>, Komisijas 2014. gada 27. jūnija Regulu Nr. </w:t>
            </w:r>
            <w:hyperlink r:id="rId10" w:tgtFrame="_blank" w:history="1">
              <w:r w:rsidRPr="00020C29">
                <w:rPr>
                  <w:rStyle w:val="Hyperlink"/>
                  <w:rFonts w:cs="Times New Roman"/>
                  <w:color w:val="auto"/>
                </w:rPr>
                <w:t>717/2014</w:t>
              </w:r>
            </w:hyperlink>
            <w:r w:rsidRPr="00020C29">
              <w:rPr>
                <w:rFonts w:cs="Times New Roman"/>
              </w:rPr>
              <w:t> (Komisijas Regulas Nr. </w:t>
            </w:r>
            <w:hyperlink r:id="rId11" w:tgtFrame="_blank" w:history="1">
              <w:r w:rsidRPr="00020C29">
                <w:rPr>
                  <w:rStyle w:val="Hyperlink"/>
                  <w:rFonts w:cs="Times New Roman"/>
                  <w:color w:val="auto"/>
                </w:rPr>
                <w:t>1407/2013</w:t>
              </w:r>
            </w:hyperlink>
            <w:r w:rsidRPr="00020C29">
              <w:rPr>
                <w:rFonts w:cs="Times New Roman"/>
              </w:rPr>
              <w:t> 5. panta 1. punkts) un Komisijas 2013. gada 18. decembra Regulu Nr. </w:t>
            </w:r>
            <w:hyperlink r:id="rId12" w:tgtFrame="_blank" w:history="1">
              <w:r w:rsidRPr="00020C29">
                <w:rPr>
                  <w:rStyle w:val="Hyperlink"/>
                  <w:rFonts w:cs="Times New Roman"/>
                  <w:color w:val="auto"/>
                </w:rPr>
                <w:t>1407/2013</w:t>
              </w:r>
            </w:hyperlink>
            <w:r w:rsidRPr="00020C29">
              <w:rPr>
                <w:rFonts w:cs="Times New Roman"/>
              </w:rPr>
              <w:t> (Komisijas Regulas Nr. </w:t>
            </w:r>
            <w:hyperlink r:id="rId13" w:tgtFrame="_blank" w:history="1">
              <w:r w:rsidRPr="00020C29">
                <w:rPr>
                  <w:rStyle w:val="Hyperlink"/>
                  <w:rFonts w:cs="Times New Roman"/>
                  <w:color w:val="auto"/>
                </w:rPr>
                <w:t>1407/2013</w:t>
              </w:r>
            </w:hyperlink>
            <w:r w:rsidRPr="00020C29">
              <w:rPr>
                <w:rFonts w:cs="Times New Roman"/>
              </w:rPr>
              <w:t xml:space="preserve"> 3. panta 2. un 3. punkts), </w:t>
            </w:r>
            <w:r w:rsidRPr="00020C29">
              <w:rPr>
                <w:rFonts w:cs="Times New Roman"/>
                <w:u w:val="single"/>
              </w:rPr>
              <w:t>kā arī par plānoto </w:t>
            </w:r>
            <w:proofErr w:type="spellStart"/>
            <w:r w:rsidRPr="00020C29">
              <w:rPr>
                <w:rFonts w:cs="Times New Roman"/>
                <w:i/>
                <w:iCs/>
                <w:u w:val="single"/>
              </w:rPr>
              <w:t>de</w:t>
            </w:r>
            <w:proofErr w:type="spellEnd"/>
            <w:r w:rsidRPr="00020C29">
              <w:rPr>
                <w:rFonts w:cs="Times New Roman"/>
                <w:i/>
                <w:iCs/>
                <w:u w:val="single"/>
              </w:rPr>
              <w:t xml:space="preserve"> </w:t>
            </w:r>
            <w:proofErr w:type="spellStart"/>
            <w:r w:rsidRPr="00020C29">
              <w:rPr>
                <w:rFonts w:cs="Times New Roman"/>
                <w:i/>
                <w:iCs/>
                <w:u w:val="single"/>
              </w:rPr>
              <w:t>minimis</w:t>
            </w:r>
            <w:proofErr w:type="spellEnd"/>
            <w:r w:rsidRPr="00020C29">
              <w:rPr>
                <w:rFonts w:cs="Times New Roman"/>
                <w:u w:val="single"/>
              </w:rPr>
              <w:t xml:space="preserve"> atbalstu. </w:t>
            </w:r>
            <w:r w:rsidRPr="00020C29">
              <w:rPr>
                <w:rFonts w:cs="Times New Roman"/>
              </w:rPr>
              <w:t xml:space="preserve">Tātad neatkarīgi no projekta veida, </w:t>
            </w:r>
            <w:proofErr w:type="spellStart"/>
            <w:r w:rsidRPr="00020C29">
              <w:rPr>
                <w:rFonts w:cs="Times New Roman"/>
                <w:i/>
                <w:iCs/>
              </w:rPr>
              <w:t>de</w:t>
            </w:r>
            <w:proofErr w:type="spellEnd"/>
            <w:r w:rsidRPr="00020C29">
              <w:rPr>
                <w:rFonts w:cs="Times New Roman"/>
                <w:i/>
                <w:iCs/>
              </w:rPr>
              <w:t xml:space="preserve"> </w:t>
            </w:r>
            <w:proofErr w:type="spellStart"/>
            <w:r w:rsidRPr="00020C29">
              <w:rPr>
                <w:rFonts w:cs="Times New Roman"/>
                <w:i/>
                <w:iCs/>
              </w:rPr>
              <w:t>minimis</w:t>
            </w:r>
            <w:proofErr w:type="spellEnd"/>
            <w:r w:rsidRPr="00020C29">
              <w:rPr>
                <w:rFonts w:cs="Times New Roman"/>
              </w:rPr>
              <w:t xml:space="preserve"> veidlapā jāsniedz informācija par </w:t>
            </w:r>
            <w:r w:rsidRPr="00020C29">
              <w:rPr>
                <w:rFonts w:cs="Times New Roman"/>
              </w:rPr>
              <w:lastRenderedPageBreak/>
              <w:t xml:space="preserve">visu saņemto un plānoto </w:t>
            </w:r>
            <w:proofErr w:type="spellStart"/>
            <w:r w:rsidRPr="00020C29">
              <w:rPr>
                <w:rFonts w:cs="Times New Roman"/>
                <w:i/>
                <w:iCs/>
              </w:rPr>
              <w:t>de</w:t>
            </w:r>
            <w:proofErr w:type="spellEnd"/>
            <w:r w:rsidRPr="00020C29">
              <w:rPr>
                <w:rFonts w:cs="Times New Roman"/>
                <w:i/>
                <w:iCs/>
              </w:rPr>
              <w:t xml:space="preserve"> </w:t>
            </w:r>
            <w:proofErr w:type="spellStart"/>
            <w:r w:rsidRPr="00020C29">
              <w:rPr>
                <w:rFonts w:cs="Times New Roman"/>
                <w:i/>
                <w:iCs/>
              </w:rPr>
              <w:t>minimis</w:t>
            </w:r>
            <w:proofErr w:type="spellEnd"/>
            <w:r w:rsidRPr="00020C29">
              <w:rPr>
                <w:rFonts w:cs="Times New Roman"/>
              </w:rPr>
              <w:t xml:space="preserve"> atbalsta apmēru. Attiecīgi iesniedzot projektu par </w:t>
            </w:r>
            <w:proofErr w:type="spellStart"/>
            <w:r w:rsidRPr="00020C29">
              <w:rPr>
                <w:rFonts w:cs="Times New Roman"/>
              </w:rPr>
              <w:t>siltumavotu</w:t>
            </w:r>
            <w:proofErr w:type="spellEnd"/>
            <w:r w:rsidRPr="00020C29">
              <w:rPr>
                <w:rFonts w:cs="Times New Roman"/>
              </w:rPr>
              <w:t xml:space="preserve">, ir nepieciešams norādīt plānotās demontāžas izmaksas arī par iepriekš iesniegtajiem siltumtrašu projektiem. </w:t>
            </w:r>
          </w:p>
          <w:p w:rsidR="00020C29" w:rsidRPr="00020C29" w:rsidRDefault="00020C29" w:rsidP="00020C29">
            <w:pPr>
              <w:rPr>
                <w:rFonts w:cs="Times New Roman"/>
              </w:rPr>
            </w:pPr>
          </w:p>
          <w:p w:rsidR="00020C29" w:rsidRPr="00020C29" w:rsidRDefault="00020C29" w:rsidP="00020C29">
            <w:pPr>
              <w:rPr>
                <w:rFonts w:cs="Times New Roman"/>
                <w:b/>
                <w:bCs/>
              </w:rPr>
            </w:pPr>
            <w:r w:rsidRPr="00020C29">
              <w:rPr>
                <w:rFonts w:cs="Times New Roman"/>
                <w:b/>
                <w:bCs/>
              </w:rPr>
              <w:t>Par projektēšanu un būvniecību:</w:t>
            </w:r>
          </w:p>
          <w:p w:rsidR="00020C29" w:rsidRPr="00020C29" w:rsidRDefault="00020C29" w:rsidP="00020C29">
            <w:pPr>
              <w:rPr>
                <w:rFonts w:cs="Times New Roman"/>
              </w:rPr>
            </w:pPr>
            <w:r w:rsidRPr="00020C29">
              <w:rPr>
                <w:rFonts w:cs="Times New Roman"/>
              </w:rPr>
              <w:t>Ir iespējams veikt vienu iepirkumu un slēgt vienu līgumu, ja tas nav pretrunā normatīvajiem aktiem iepirkumu jomā. Vienlaikus, projekta iesniegumā, t.sk. 3.pielikumā “Projekta budžeta kopsavilkums” Jums jānodala projektēšanas izmaksas, lai būtu iespējams pārliecināties par projekta iesnieguma un plānoto izmaksu atbilstību Ministru Kabineta 2017.gada 22.augusta noteikumos Nr.495 “Darbības programmas "Izaugsme un nodarbinātība" 4.3.1. specifiskā atbalsta mērķa "Veicināt energoefektivitāti un vietējo AER izmantošanu centralizētajā siltumapgādē" otrās projektu iesniegumu atlases kārtas īstenošanas noteikumi” noteiktajam, tostarp, lai pārliecinātos par atbilstību 28.punkta prasībām.</w:t>
            </w:r>
          </w:p>
          <w:p w:rsidR="00282F33" w:rsidRDefault="00282F33"/>
        </w:tc>
      </w:tr>
      <w:tr w:rsidR="00282F33" w:rsidTr="0047088F">
        <w:tc>
          <w:tcPr>
            <w:tcW w:w="943" w:type="dxa"/>
          </w:tcPr>
          <w:p w:rsidR="00282F33" w:rsidRDefault="00F76FC5">
            <w:r>
              <w:lastRenderedPageBreak/>
              <w:t>5.</w:t>
            </w:r>
          </w:p>
        </w:tc>
        <w:tc>
          <w:tcPr>
            <w:tcW w:w="3992" w:type="dxa"/>
          </w:tcPr>
          <w:p w:rsidR="00282F33" w:rsidRDefault="00F76FC5">
            <w:r w:rsidRPr="00773D73">
              <w:rPr>
                <w:rFonts w:cs="Times New Roman"/>
                <w:sz w:val="24"/>
                <w:szCs w:val="24"/>
              </w:rPr>
              <w:t>No kura brīža tiek atbalstītas izmaksas projekta sagatavošanai?</w:t>
            </w:r>
          </w:p>
        </w:tc>
        <w:tc>
          <w:tcPr>
            <w:tcW w:w="9013" w:type="dxa"/>
          </w:tcPr>
          <w:p w:rsidR="0047088F" w:rsidRPr="0047088F" w:rsidRDefault="0047088F" w:rsidP="0047088F">
            <w:pPr>
              <w:jc w:val="left"/>
              <w:rPr>
                <w:rFonts w:eastAsiaTheme="minorHAnsi" w:cs="Times New Roman"/>
                <w:sz w:val="24"/>
                <w:szCs w:val="24"/>
              </w:rPr>
            </w:pPr>
            <w:r w:rsidRPr="0047088F">
              <w:rPr>
                <w:rFonts w:eastAsiaTheme="minorHAnsi" w:cs="Times New Roman"/>
                <w:sz w:val="24"/>
                <w:szCs w:val="24"/>
              </w:rPr>
              <w:t>Atbilstoši MK noteikumu 30. un 31.punktā noteiktajam:</w:t>
            </w:r>
          </w:p>
          <w:p w:rsidR="0047088F" w:rsidRDefault="0047088F" w:rsidP="0047088F">
            <w:pPr>
              <w:pStyle w:val="ListParagraph"/>
              <w:numPr>
                <w:ilvl w:val="3"/>
                <w:numId w:val="3"/>
              </w:numPr>
              <w:ind w:left="317" w:hanging="357"/>
              <w:contextualSpacing w:val="0"/>
              <w:jc w:val="left"/>
            </w:pPr>
            <w:r w:rsidRPr="00773D73">
              <w:t>tehniskās dokumentācijas sagatavošanas izmaksas</w:t>
            </w:r>
            <w:r>
              <w:t xml:space="preserve"> un publicitātes izmaksas</w:t>
            </w:r>
            <w:r w:rsidRPr="00773D73">
              <w:t xml:space="preserve"> </w:t>
            </w:r>
            <w:r>
              <w:t>ir</w:t>
            </w:r>
            <w:r w:rsidRPr="00773D73">
              <w:t xml:space="preserve"> attiecinā</w:t>
            </w:r>
            <w:r>
              <w:t>m</w:t>
            </w:r>
            <w:r w:rsidRPr="00773D73">
              <w:t>as no 201</w:t>
            </w:r>
            <w:r>
              <w:t>7</w:t>
            </w:r>
            <w:r w:rsidRPr="00773D73">
              <w:t xml:space="preserve">.gada </w:t>
            </w:r>
            <w:r>
              <w:t>30.jūnija</w:t>
            </w:r>
            <w:r w:rsidRPr="00773D73">
              <w:t>;</w:t>
            </w:r>
          </w:p>
          <w:p w:rsidR="0047088F" w:rsidRPr="00773D73" w:rsidRDefault="0047088F" w:rsidP="0047088F">
            <w:pPr>
              <w:pStyle w:val="ListParagraph"/>
              <w:numPr>
                <w:ilvl w:val="3"/>
                <w:numId w:val="3"/>
              </w:numPr>
              <w:ind w:left="317" w:hanging="357"/>
              <w:contextualSpacing w:val="0"/>
              <w:jc w:val="left"/>
            </w:pPr>
            <w:r>
              <w:t>veicot ieguldījumus siltumapgādes ražošanas avotā, no 2017.gada 30.jūnija attiecināmas arī t</w:t>
            </w:r>
            <w:r w:rsidRPr="004A1F51">
              <w:rPr>
                <w:rFonts w:cs="Times New Roman"/>
                <w:sz w:val="24"/>
                <w:szCs w:val="24"/>
              </w:rPr>
              <w:t>ehnoloģisko iekārtu demontāžas izmaksas, ēku un būvju nojaukšanas izmaksas</w:t>
            </w:r>
            <w:r>
              <w:rPr>
                <w:rFonts w:cs="Times New Roman"/>
                <w:sz w:val="24"/>
                <w:szCs w:val="24"/>
              </w:rPr>
              <w:t>;</w:t>
            </w:r>
          </w:p>
          <w:p w:rsidR="0047088F" w:rsidRDefault="0047088F" w:rsidP="00F76FC5"/>
          <w:p w:rsidR="00282F33" w:rsidRDefault="00F76FC5" w:rsidP="00F76FC5">
            <w:r w:rsidRPr="00773D73">
              <w:t xml:space="preserve">visas pārējās ar projektu saistītās izmaksas </w:t>
            </w:r>
            <w:r>
              <w:t>ir</w:t>
            </w:r>
            <w:r w:rsidRPr="00773D73">
              <w:t xml:space="preserve"> attiecinā</w:t>
            </w:r>
            <w:r>
              <w:t>m</w:t>
            </w:r>
            <w:r w:rsidRPr="00773D73">
              <w:t xml:space="preserve">as sākot no dienas, kad CFLA </w:t>
            </w:r>
            <w:r>
              <w:t>ir</w:t>
            </w:r>
            <w:r w:rsidRPr="00773D73">
              <w:t xml:space="preserve"> iesniegts projekta iesniegums. Papildus norādām, ka Komisijas regula Nr.651/2014, ar ko SAM 4.3.1. ietvaros tiek sniegts atbalsts, ietver nosacījumu, ka jebkāda veida darbības, </w:t>
            </w:r>
            <w:r>
              <w:t>tai skaitā līguma slēgšanu ar būvdarbu veicēju un</w:t>
            </w:r>
            <w:r w:rsidRPr="00773D73">
              <w:t xml:space="preserve"> būvlaukuma sagatavošanu, ir atļauts uzsākt tikai pēc projekta iesniegšanas CFLA. Ja darbs pie projekta tiek sākts pirms projekta iesniegšanas CFLA, neattiecināmas ir visas ar projektu saistītās izmaksas.</w:t>
            </w:r>
          </w:p>
        </w:tc>
      </w:tr>
      <w:tr w:rsidR="00282F33" w:rsidTr="0047088F">
        <w:tc>
          <w:tcPr>
            <w:tcW w:w="943" w:type="dxa"/>
          </w:tcPr>
          <w:p w:rsidR="00282F33" w:rsidRDefault="0047088F">
            <w:r>
              <w:t>6.</w:t>
            </w:r>
          </w:p>
        </w:tc>
        <w:tc>
          <w:tcPr>
            <w:tcW w:w="3992" w:type="dxa"/>
          </w:tcPr>
          <w:p w:rsidR="0047088F" w:rsidRPr="002C5BA8" w:rsidRDefault="0047088F" w:rsidP="0047088F">
            <w:pPr>
              <w:rPr>
                <w:rFonts w:cs="Times New Roman"/>
                <w:sz w:val="24"/>
                <w:szCs w:val="24"/>
              </w:rPr>
            </w:pPr>
            <w:r w:rsidRPr="002C5BA8">
              <w:rPr>
                <w:rFonts w:cs="Times New Roman"/>
                <w:sz w:val="24"/>
                <w:szCs w:val="24"/>
              </w:rPr>
              <w:t>Vai projektu iesniegumu vērtēšana tiks uzsākta tikai tad, kad būs noslēgta kārta, vai projekti tiks vērtēti tiklīdz tie tiks iesniegti CFLA?</w:t>
            </w:r>
          </w:p>
          <w:p w:rsidR="00282F33" w:rsidRDefault="00282F33" w:rsidP="0047088F"/>
        </w:tc>
        <w:tc>
          <w:tcPr>
            <w:tcW w:w="9013" w:type="dxa"/>
          </w:tcPr>
          <w:p w:rsidR="0047088F" w:rsidRPr="002C5BA8" w:rsidRDefault="0047088F" w:rsidP="0047088F">
            <w:pPr>
              <w:rPr>
                <w:rFonts w:cs="Times New Roman"/>
                <w:sz w:val="24"/>
                <w:szCs w:val="24"/>
              </w:rPr>
            </w:pPr>
            <w:r w:rsidRPr="002C5BA8">
              <w:rPr>
                <w:rFonts w:cs="Times New Roman"/>
                <w:sz w:val="24"/>
                <w:szCs w:val="24"/>
              </w:rPr>
              <w:t xml:space="preserve">Tā kā SAM 4.3.1. ietvaros </w:t>
            </w:r>
            <w:r>
              <w:rPr>
                <w:rFonts w:cs="Times New Roman"/>
                <w:sz w:val="24"/>
                <w:szCs w:val="24"/>
              </w:rPr>
              <w:t xml:space="preserve">ir </w:t>
            </w:r>
            <w:r w:rsidRPr="002C5BA8">
              <w:rPr>
                <w:rFonts w:cs="Times New Roman"/>
                <w:sz w:val="24"/>
                <w:szCs w:val="24"/>
              </w:rPr>
              <w:t xml:space="preserve">izsludināta atklātā projektu iesniegumu atlase, un pieejamais Kohēzijas fonda līdzfinansējums ir ierobežots, projektu vērtēšana tiks veikta pēc </w:t>
            </w:r>
            <w:r>
              <w:rPr>
                <w:rFonts w:cs="Times New Roman"/>
                <w:sz w:val="24"/>
                <w:szCs w:val="24"/>
              </w:rPr>
              <w:t>otrās</w:t>
            </w:r>
            <w:r w:rsidRPr="002C5BA8">
              <w:rPr>
                <w:rFonts w:cs="Times New Roman"/>
                <w:sz w:val="24"/>
                <w:szCs w:val="24"/>
              </w:rPr>
              <w:t xml:space="preserve"> projektu iesniegumu atlases kārtas noslēgšanas, kas nozīmē, ka visi iesniegtie projekti tiks vērtēti vienlaicīgi.</w:t>
            </w:r>
          </w:p>
          <w:p w:rsidR="00282F33" w:rsidRDefault="00282F33"/>
        </w:tc>
      </w:tr>
      <w:tr w:rsidR="0047088F" w:rsidTr="0047088F">
        <w:tc>
          <w:tcPr>
            <w:tcW w:w="943" w:type="dxa"/>
          </w:tcPr>
          <w:p w:rsidR="0047088F" w:rsidRDefault="0047088F" w:rsidP="0047088F">
            <w:r>
              <w:lastRenderedPageBreak/>
              <w:t>7.</w:t>
            </w:r>
          </w:p>
        </w:tc>
        <w:tc>
          <w:tcPr>
            <w:tcW w:w="3992" w:type="dxa"/>
          </w:tcPr>
          <w:p w:rsidR="0047088F" w:rsidRPr="00773D73" w:rsidRDefault="0047088F" w:rsidP="0047088F">
            <w:pPr>
              <w:rPr>
                <w:rFonts w:cs="Times New Roman"/>
                <w:sz w:val="24"/>
                <w:szCs w:val="24"/>
              </w:rPr>
            </w:pPr>
            <w:r w:rsidRPr="00773D73">
              <w:rPr>
                <w:rFonts w:cs="Times New Roman"/>
                <w:sz w:val="24"/>
                <w:szCs w:val="24"/>
              </w:rPr>
              <w:t>Vai Dzīvokļu īpašnieku kooperatīvā sabiedrība (</w:t>
            </w:r>
            <w:proofErr w:type="spellStart"/>
            <w:r w:rsidRPr="00773D73">
              <w:rPr>
                <w:rFonts w:cs="Times New Roman"/>
                <w:sz w:val="24"/>
                <w:szCs w:val="24"/>
              </w:rPr>
              <w:t>DzĪKS</w:t>
            </w:r>
            <w:proofErr w:type="spellEnd"/>
            <w:r w:rsidRPr="00773D73">
              <w:rPr>
                <w:rFonts w:cs="Times New Roman"/>
                <w:sz w:val="24"/>
                <w:szCs w:val="24"/>
              </w:rPr>
              <w:t>) atbilst kritērijiem, lai pretendētu uz atbalstu? Esam izveidojušies jau 1997.gadā, šobrīd piegādājam siltumu 61 dzīvoklim, no tiem kooperatīva biedri ir apmēram puse</w:t>
            </w:r>
          </w:p>
        </w:tc>
        <w:tc>
          <w:tcPr>
            <w:tcW w:w="9013" w:type="dxa"/>
          </w:tcPr>
          <w:p w:rsidR="0047088F" w:rsidRPr="00773D73" w:rsidRDefault="0047088F" w:rsidP="0047088F">
            <w:pPr>
              <w:rPr>
                <w:rFonts w:cs="Times New Roman"/>
                <w:sz w:val="24"/>
                <w:szCs w:val="24"/>
              </w:rPr>
            </w:pPr>
            <w:r>
              <w:rPr>
                <w:rFonts w:cs="Times New Roman"/>
                <w:sz w:val="24"/>
                <w:szCs w:val="24"/>
              </w:rPr>
              <w:t xml:space="preserve">Atbilstoši MK noteikumu 12.punktā noteiktajam, </w:t>
            </w:r>
            <w:r w:rsidRPr="00773D73">
              <w:rPr>
                <w:rFonts w:cs="Times New Roman"/>
                <w:sz w:val="24"/>
                <w:szCs w:val="24"/>
              </w:rPr>
              <w:t>SAM 4.3.1. ietvaros projekta iesniedzējs ir Latvijas Republikā reģistrēts komersants.</w:t>
            </w:r>
          </w:p>
          <w:p w:rsidR="0047088F" w:rsidRPr="00773D73" w:rsidRDefault="0047088F" w:rsidP="0047088F">
            <w:pPr>
              <w:rPr>
                <w:rFonts w:cs="Times New Roman"/>
                <w:sz w:val="24"/>
                <w:szCs w:val="24"/>
              </w:rPr>
            </w:pPr>
          </w:p>
          <w:p w:rsidR="0047088F" w:rsidRPr="00773D73" w:rsidRDefault="0047088F" w:rsidP="0047088F">
            <w:pPr>
              <w:rPr>
                <w:rFonts w:cs="Times New Roman"/>
                <w:sz w:val="24"/>
                <w:szCs w:val="24"/>
              </w:rPr>
            </w:pPr>
            <w:r w:rsidRPr="00773D73">
              <w:rPr>
                <w:rFonts w:cs="Times New Roman"/>
                <w:sz w:val="24"/>
                <w:szCs w:val="24"/>
              </w:rPr>
              <w:t>Savukārt Kooperatīvo sabiedrību likuma 6.pantā ir noteikts:</w:t>
            </w:r>
          </w:p>
          <w:p w:rsidR="0047088F" w:rsidRPr="00773D73" w:rsidRDefault="0047088F" w:rsidP="0047088F">
            <w:pPr>
              <w:pStyle w:val="tv213"/>
              <w:spacing w:before="0" w:beforeAutospacing="0" w:after="0" w:afterAutospacing="0" w:line="293" w:lineRule="atLeast"/>
              <w:jc w:val="both"/>
              <w:rPr>
                <w:lang w:eastAsia="en-US"/>
              </w:rPr>
            </w:pPr>
            <w:r w:rsidRPr="00773D73">
              <w:rPr>
                <w:lang w:eastAsia="en-US"/>
              </w:rPr>
              <w:t>“6.pants. Kooperatīvās sabiedrības komersanta statuss</w:t>
            </w:r>
          </w:p>
          <w:p w:rsidR="0047088F" w:rsidRPr="00773D73" w:rsidRDefault="0047088F" w:rsidP="0047088F">
            <w:pPr>
              <w:pStyle w:val="tv213"/>
              <w:spacing w:before="0" w:beforeAutospacing="0" w:after="0" w:afterAutospacing="0" w:line="293" w:lineRule="atLeast"/>
              <w:jc w:val="both"/>
              <w:rPr>
                <w:lang w:eastAsia="en-US"/>
              </w:rPr>
            </w:pPr>
            <w:r w:rsidRPr="00773D73">
              <w:rPr>
                <w:lang w:eastAsia="en-US"/>
              </w:rPr>
              <w:t>Kooperatīvā sabiedrība ir komersants, izņemot lauksaimniecības pakalpojumu kooperatīvās sabiedrības, mežsaimniecības pakalpojumu kooperatīvās sabiedrības, dzīvokļu īpašnieku kooperatīvās sabiedrības, automašīnu garāžu īpašnieku kooperatīvās sabiedrības, laivu garāžu īpašnieku kooperatīvās sabiedrības un dārzkopības kooperatīvās sabiedrības.”</w:t>
            </w:r>
          </w:p>
          <w:p w:rsidR="0047088F" w:rsidRPr="00773D73" w:rsidRDefault="0047088F" w:rsidP="0047088F">
            <w:pPr>
              <w:pStyle w:val="tv213"/>
              <w:spacing w:before="0" w:beforeAutospacing="0" w:after="0" w:afterAutospacing="0" w:line="293" w:lineRule="atLeast"/>
              <w:jc w:val="both"/>
              <w:rPr>
                <w:lang w:eastAsia="en-US"/>
              </w:rPr>
            </w:pPr>
          </w:p>
          <w:p w:rsidR="0047088F" w:rsidRPr="00C8532B" w:rsidRDefault="0047088F" w:rsidP="0047088F">
            <w:pPr>
              <w:rPr>
                <w:rFonts w:cs="Times New Roman"/>
                <w:sz w:val="24"/>
                <w:szCs w:val="24"/>
              </w:rPr>
            </w:pPr>
            <w:r w:rsidRPr="00773D73">
              <w:rPr>
                <w:rFonts w:cs="Times New Roman"/>
                <w:sz w:val="24"/>
                <w:szCs w:val="24"/>
              </w:rPr>
              <w:t>Līdz ar to, lai pretendētu uz atbalstu SAM 4.3.1. ietvaros, nepieciešams reģistrēt uzņēmumu un attiecīgajam uzņēmumam nodot kooperatīvās sabiedrības īpašumā esošās katlumājas.</w:t>
            </w:r>
          </w:p>
        </w:tc>
      </w:tr>
      <w:tr w:rsidR="0047088F" w:rsidTr="0047088F">
        <w:tc>
          <w:tcPr>
            <w:tcW w:w="943" w:type="dxa"/>
          </w:tcPr>
          <w:p w:rsidR="0047088F" w:rsidRDefault="0047088F" w:rsidP="0047088F">
            <w:r>
              <w:t>8.</w:t>
            </w:r>
          </w:p>
        </w:tc>
        <w:tc>
          <w:tcPr>
            <w:tcW w:w="3992" w:type="dxa"/>
          </w:tcPr>
          <w:p w:rsidR="0047088F" w:rsidRPr="00773D73" w:rsidRDefault="0047088F" w:rsidP="0047088F">
            <w:pPr>
              <w:rPr>
                <w:rFonts w:cs="Times New Roman"/>
                <w:sz w:val="24"/>
                <w:szCs w:val="24"/>
              </w:rPr>
            </w:pPr>
            <w:r w:rsidRPr="00773D73">
              <w:rPr>
                <w:rFonts w:cs="Times New Roman"/>
                <w:sz w:val="24"/>
                <w:szCs w:val="24"/>
              </w:rPr>
              <w:t>Ja projektam ir jau saskaņots būvprojekts, t.sk. tas ietver saskaņojumus ar zemes īpašniekiem, kuru teritorijās ir izvietota siltumtrase, vai ir papildus jāpievieno nomu/ apbūves tiesības apliecinoši dokumenti?</w:t>
            </w:r>
          </w:p>
        </w:tc>
        <w:tc>
          <w:tcPr>
            <w:tcW w:w="9013" w:type="dxa"/>
          </w:tcPr>
          <w:p w:rsidR="0047088F" w:rsidRPr="00773D73" w:rsidRDefault="0047088F" w:rsidP="0047088F">
            <w:pPr>
              <w:rPr>
                <w:rFonts w:cs="Times New Roman"/>
                <w:sz w:val="24"/>
                <w:szCs w:val="24"/>
              </w:rPr>
            </w:pPr>
            <w:r w:rsidRPr="00773D73">
              <w:rPr>
                <w:rFonts w:cs="Times New Roman"/>
                <w:sz w:val="24"/>
                <w:szCs w:val="24"/>
              </w:rPr>
              <w:t xml:space="preserve">Siltumenerģijas pārvades un sadales sistēmas efektivitātes paaugstināšanas gadījumā, </w:t>
            </w:r>
            <w:r>
              <w:rPr>
                <w:rFonts w:cs="Times New Roman"/>
                <w:sz w:val="24"/>
                <w:szCs w:val="24"/>
              </w:rPr>
              <w:t>attiecīgajam</w:t>
            </w:r>
            <w:r w:rsidRPr="00773D73">
              <w:rPr>
                <w:rFonts w:cs="Times New Roman"/>
                <w:sz w:val="24"/>
                <w:szCs w:val="24"/>
              </w:rPr>
              <w:t xml:space="preserve"> rekonstruējamajam pārvades un sadales tīkla posmam ir jābūt projekta iesniedzēja īpašumā, ko pierāda ieraksts projekta iesniedzēja grāmatvedības sistēmā vai grāmatvedībā reģistrēta pamatlīdzekļu uzskaites kartīte.</w:t>
            </w:r>
          </w:p>
          <w:p w:rsidR="0047088F" w:rsidRPr="00773D73" w:rsidRDefault="0047088F" w:rsidP="0047088F">
            <w:pPr>
              <w:rPr>
                <w:rFonts w:cs="Times New Roman"/>
                <w:sz w:val="24"/>
                <w:szCs w:val="24"/>
              </w:rPr>
            </w:pPr>
            <w:r w:rsidRPr="00773D73">
              <w:rPr>
                <w:rFonts w:cs="Times New Roman"/>
                <w:sz w:val="24"/>
                <w:szCs w:val="24"/>
              </w:rPr>
              <w:t>Zeme, uz kuras atrodas siltumenerģijas pārvades un sadales sistēma, var nebūt projekta iesniedzēja īpašumā, nomā vai koncesijā.</w:t>
            </w:r>
          </w:p>
          <w:p w:rsidR="0047088F" w:rsidRDefault="0047088F" w:rsidP="0047088F">
            <w:pPr>
              <w:rPr>
                <w:rFonts w:cs="Times New Roman"/>
                <w:sz w:val="24"/>
                <w:szCs w:val="24"/>
              </w:rPr>
            </w:pPr>
          </w:p>
          <w:p w:rsidR="0047088F" w:rsidRDefault="0047088F" w:rsidP="0047088F">
            <w:pPr>
              <w:rPr>
                <w:rFonts w:cs="Times New Roman"/>
                <w:sz w:val="24"/>
                <w:szCs w:val="24"/>
              </w:rPr>
            </w:pPr>
            <w:r w:rsidRPr="001616DF">
              <w:rPr>
                <w:rFonts w:cs="Times New Roman"/>
                <w:sz w:val="24"/>
                <w:szCs w:val="24"/>
              </w:rPr>
              <w:t>Civillikumā noteiktās normas attiecībā uz siltumenerģijas pārvades un sadales sistēmas posmu rekonstrukciju un būvniecību nav attiecināmas. Siltumenerģijas pārvades un sadales sistēmas rekonstrukcijas gadījumā nepieciešami Būvvaldes norādītie saskaņojumi būvatļaujas saņemšanai.</w:t>
            </w:r>
          </w:p>
          <w:p w:rsidR="0047088F" w:rsidRPr="00773D73" w:rsidRDefault="0047088F" w:rsidP="0047088F">
            <w:pPr>
              <w:rPr>
                <w:rFonts w:cs="Times New Roman"/>
                <w:sz w:val="24"/>
                <w:szCs w:val="24"/>
              </w:rPr>
            </w:pPr>
          </w:p>
          <w:p w:rsidR="0047088F" w:rsidRPr="00773D73" w:rsidRDefault="0047088F" w:rsidP="0047088F">
            <w:pPr>
              <w:rPr>
                <w:rFonts w:cs="Times New Roman"/>
                <w:sz w:val="24"/>
                <w:szCs w:val="24"/>
              </w:rPr>
            </w:pPr>
            <w:r w:rsidRPr="00773D73">
              <w:rPr>
                <w:rFonts w:cs="Times New Roman"/>
                <w:sz w:val="24"/>
                <w:szCs w:val="24"/>
              </w:rPr>
              <w:t xml:space="preserve">Atsevišķi norādām, ka uz projektiem, kuru ietvaros plānots veikt </w:t>
            </w:r>
            <w:proofErr w:type="spellStart"/>
            <w:r w:rsidRPr="00773D73">
              <w:rPr>
                <w:rFonts w:cs="Times New Roman"/>
                <w:sz w:val="24"/>
                <w:szCs w:val="24"/>
              </w:rPr>
              <w:t>siltumavota</w:t>
            </w:r>
            <w:proofErr w:type="spellEnd"/>
            <w:r w:rsidRPr="00773D73">
              <w:rPr>
                <w:rFonts w:cs="Times New Roman"/>
                <w:sz w:val="24"/>
                <w:szCs w:val="24"/>
              </w:rPr>
              <w:t xml:space="preserve"> rekonstrukciju vai būvniecību, attiecas 07.03.2017. Ministru kabineta noteikumu Nr.135 13. un 14.punkti par ēkas/zemes īpašumtiesībām.</w:t>
            </w:r>
          </w:p>
        </w:tc>
      </w:tr>
      <w:tr w:rsidR="0047088F" w:rsidTr="0047088F">
        <w:tc>
          <w:tcPr>
            <w:tcW w:w="943" w:type="dxa"/>
          </w:tcPr>
          <w:p w:rsidR="0047088F" w:rsidRDefault="0047088F" w:rsidP="0047088F">
            <w:r>
              <w:t>9.</w:t>
            </w:r>
          </w:p>
        </w:tc>
        <w:tc>
          <w:tcPr>
            <w:tcW w:w="3992" w:type="dxa"/>
          </w:tcPr>
          <w:p w:rsidR="0047088F" w:rsidRPr="00773D73" w:rsidRDefault="0047088F" w:rsidP="0047088F">
            <w:pPr>
              <w:rPr>
                <w:rFonts w:cs="Times New Roman"/>
                <w:sz w:val="24"/>
                <w:szCs w:val="24"/>
              </w:rPr>
            </w:pPr>
            <w:r w:rsidRPr="00773D73">
              <w:rPr>
                <w:rFonts w:cs="Times New Roman"/>
                <w:sz w:val="24"/>
                <w:szCs w:val="24"/>
              </w:rPr>
              <w:t xml:space="preserve">Vai kopā ar projekta iesniegumu jāiesniedz aprēķini/ apliecinājumi par </w:t>
            </w:r>
            <w:r w:rsidRPr="00773D73">
              <w:rPr>
                <w:rFonts w:cs="Times New Roman"/>
                <w:sz w:val="24"/>
                <w:szCs w:val="24"/>
              </w:rPr>
              <w:lastRenderedPageBreak/>
              <w:t>siltumenerģijas un elektroenerģijas patēriņu pirms un pēc projekta īstenošanas un to zudumu samazinājumu, kā arī CO</w:t>
            </w:r>
            <w:r w:rsidRPr="00972448">
              <w:rPr>
                <w:rFonts w:cs="Times New Roman"/>
                <w:sz w:val="24"/>
                <w:szCs w:val="24"/>
                <w:vertAlign w:val="subscript"/>
              </w:rPr>
              <w:t>2</w:t>
            </w:r>
            <w:r w:rsidRPr="00773D73">
              <w:rPr>
                <w:rFonts w:cs="Times New Roman"/>
                <w:sz w:val="24"/>
                <w:szCs w:val="24"/>
              </w:rPr>
              <w:t xml:space="preserve"> emisiju samazinājuma aprēķini un aprēķinus apliecinoši dokumenti?</w:t>
            </w:r>
          </w:p>
        </w:tc>
        <w:tc>
          <w:tcPr>
            <w:tcW w:w="9013" w:type="dxa"/>
          </w:tcPr>
          <w:p w:rsidR="0047088F" w:rsidRPr="00773D73" w:rsidRDefault="0047088F" w:rsidP="0047088F">
            <w:pPr>
              <w:rPr>
                <w:rFonts w:cs="Times New Roman"/>
                <w:sz w:val="24"/>
                <w:szCs w:val="24"/>
              </w:rPr>
            </w:pPr>
            <w:r w:rsidRPr="00773D73">
              <w:rPr>
                <w:rFonts w:cs="Times New Roman"/>
                <w:sz w:val="24"/>
                <w:szCs w:val="24"/>
              </w:rPr>
              <w:lastRenderedPageBreak/>
              <w:t xml:space="preserve">Kopā ar projekta iesniegumu ir jāiesniedz izvērsts aprēķinu veikšanas ceļš katram konkrētajam rādītājam, t.sk. jāpievieno aprēķinos izmantoto izejas datu apliecinoša </w:t>
            </w:r>
            <w:r w:rsidRPr="00773D73">
              <w:rPr>
                <w:rFonts w:cs="Times New Roman"/>
                <w:sz w:val="24"/>
                <w:szCs w:val="24"/>
              </w:rPr>
              <w:lastRenderedPageBreak/>
              <w:t>dokumentācija (siltumenerģijas skaitītāju rādījumi, iepirkto energoresursu pamatojošie dokumenti, u.c.).</w:t>
            </w:r>
          </w:p>
          <w:p w:rsidR="0047088F" w:rsidRPr="00773D73" w:rsidRDefault="0047088F" w:rsidP="0047088F">
            <w:pPr>
              <w:rPr>
                <w:rFonts w:cs="Times New Roman"/>
                <w:sz w:val="24"/>
                <w:szCs w:val="24"/>
              </w:rPr>
            </w:pPr>
            <w:r w:rsidRPr="00773D73">
              <w:rPr>
                <w:rFonts w:cs="Times New Roman"/>
                <w:sz w:val="24"/>
                <w:szCs w:val="24"/>
              </w:rPr>
              <w:t>Aprēķinus par pirms projekta īstenošanas periodu veic balstoties uz vēsturisko datu periodu par pēdējiem 3 gadiem (norādot vidējo rādītāju). Ja informācija par pēdējiem 3 gadiem nav pieejama, aprēķinos izmanto informāciju par pēdējiem 2 vai 1 gadu, norādot objektīvu iemeslu, kāpēc nav iespējams norādīt vidējo patēriņu par pēdējiem 3 gadiem.</w:t>
            </w:r>
          </w:p>
          <w:p w:rsidR="0047088F" w:rsidRPr="00773D73" w:rsidRDefault="0047088F" w:rsidP="0047088F">
            <w:pPr>
              <w:rPr>
                <w:rFonts w:cs="Times New Roman"/>
                <w:sz w:val="24"/>
                <w:szCs w:val="24"/>
              </w:rPr>
            </w:pPr>
            <w:r w:rsidRPr="00773D73">
              <w:rPr>
                <w:rFonts w:cs="Times New Roman"/>
                <w:sz w:val="24"/>
                <w:szCs w:val="24"/>
              </w:rPr>
              <w:t>Šie aprēķini un tos pamatojošā dokumentācija jāpievieno Tehniski ekonomiskajam pamatojumam.</w:t>
            </w:r>
          </w:p>
        </w:tc>
      </w:tr>
      <w:tr w:rsidR="00C5070A" w:rsidTr="0047088F">
        <w:tc>
          <w:tcPr>
            <w:tcW w:w="943" w:type="dxa"/>
          </w:tcPr>
          <w:p w:rsidR="00C5070A" w:rsidRDefault="00C5070A" w:rsidP="00C5070A">
            <w:r>
              <w:lastRenderedPageBreak/>
              <w:t>10.</w:t>
            </w:r>
          </w:p>
        </w:tc>
        <w:tc>
          <w:tcPr>
            <w:tcW w:w="3992" w:type="dxa"/>
          </w:tcPr>
          <w:p w:rsidR="00C5070A" w:rsidRPr="00CE120E" w:rsidRDefault="00C5070A" w:rsidP="00C5070A">
            <w:pPr>
              <w:rPr>
                <w:rFonts w:cs="Times New Roman"/>
                <w:sz w:val="24"/>
                <w:szCs w:val="24"/>
              </w:rPr>
            </w:pPr>
            <w:r w:rsidRPr="00CE120E">
              <w:rPr>
                <w:rFonts w:cs="Times New Roman"/>
                <w:sz w:val="24"/>
                <w:szCs w:val="24"/>
              </w:rPr>
              <w:t>Sakarā ar plānoto piedalīšanos konkursā:</w:t>
            </w:r>
          </w:p>
          <w:p w:rsidR="00C5070A" w:rsidRDefault="00C5070A" w:rsidP="00C5070A">
            <w:pPr>
              <w:rPr>
                <w:rFonts w:cs="Times New Roman"/>
                <w:sz w:val="24"/>
                <w:szCs w:val="24"/>
              </w:rPr>
            </w:pPr>
            <w:r w:rsidRPr="00CE120E">
              <w:rPr>
                <w:rFonts w:cs="Times New Roman"/>
                <w:sz w:val="24"/>
                <w:szCs w:val="24"/>
              </w:rPr>
              <w:t xml:space="preserve">4.3.1. Veicināt energoefektivitāti un vietējo AER izmantošanu centralizētajā siltumapgādē, </w:t>
            </w:r>
            <w:r>
              <w:rPr>
                <w:rFonts w:cs="Times New Roman"/>
                <w:sz w:val="24"/>
                <w:szCs w:val="24"/>
              </w:rPr>
              <w:t>2</w:t>
            </w:r>
            <w:r w:rsidRPr="00CE120E">
              <w:rPr>
                <w:rFonts w:cs="Times New Roman"/>
                <w:sz w:val="24"/>
                <w:szCs w:val="24"/>
              </w:rPr>
              <w:t>. kārta,</w:t>
            </w:r>
            <w:r>
              <w:rPr>
                <w:rFonts w:cs="Times New Roman"/>
                <w:sz w:val="24"/>
                <w:szCs w:val="24"/>
              </w:rPr>
              <w:t xml:space="preserve"> </w:t>
            </w:r>
          </w:p>
          <w:p w:rsidR="00C5070A" w:rsidRPr="00CE120E" w:rsidRDefault="00C5070A" w:rsidP="00C5070A">
            <w:pPr>
              <w:rPr>
                <w:rFonts w:cs="Times New Roman"/>
                <w:sz w:val="24"/>
                <w:szCs w:val="24"/>
              </w:rPr>
            </w:pPr>
            <w:r w:rsidRPr="00CE120E">
              <w:rPr>
                <w:rFonts w:cs="Times New Roman"/>
                <w:sz w:val="24"/>
                <w:szCs w:val="24"/>
              </w:rPr>
              <w:t xml:space="preserve">kā viens no vērtēšanas kritērijiem ir nodokļu parādu neesamība. Sakiet, lūdzu, ja uzņēmums ir vienojies ar VID par labprātīgu nodokļu nomaksu (ir saņemta atļauja nodokļu nomaksai, kas kopsummā ir lielāka par 150 </w:t>
            </w:r>
            <w:proofErr w:type="spellStart"/>
            <w:r w:rsidRPr="00CE120E">
              <w:rPr>
                <w:rFonts w:cs="Times New Roman"/>
                <w:sz w:val="24"/>
                <w:szCs w:val="24"/>
              </w:rPr>
              <w:t>eur</w:t>
            </w:r>
            <w:proofErr w:type="spellEnd"/>
            <w:r w:rsidRPr="00CE120E">
              <w:rPr>
                <w:rFonts w:cs="Times New Roman"/>
                <w:sz w:val="24"/>
                <w:szCs w:val="24"/>
              </w:rPr>
              <w:t>), vai ar šādu  lēmumu piedaloties konkursā tas nebūs noraidāms pieteikums?</w:t>
            </w:r>
          </w:p>
        </w:tc>
        <w:tc>
          <w:tcPr>
            <w:tcW w:w="9013" w:type="dxa"/>
          </w:tcPr>
          <w:p w:rsidR="00C5070A" w:rsidRPr="00CE120E" w:rsidRDefault="00C5070A" w:rsidP="00C5070A">
            <w:pPr>
              <w:rPr>
                <w:rFonts w:cs="Times New Roman"/>
                <w:sz w:val="24"/>
                <w:szCs w:val="24"/>
              </w:rPr>
            </w:pPr>
            <w:r w:rsidRPr="00CE120E">
              <w:rPr>
                <w:rFonts w:cs="Times New Roman"/>
                <w:sz w:val="24"/>
                <w:szCs w:val="24"/>
              </w:rPr>
              <w:t xml:space="preserve">Informējam, ka nodokļu parāda neesamības kritērijs ir precizējamais kritērijs 4.3.1. SAM ietvaros. Ja projekta iesniedzējam projekta iesnieguma iesniegšanas dienā ir nodokļu parādi, kas kopsummā pārsniedz 150 </w:t>
            </w:r>
            <w:proofErr w:type="spellStart"/>
            <w:r w:rsidRPr="00CE120E">
              <w:rPr>
                <w:rFonts w:cs="Times New Roman"/>
                <w:sz w:val="24"/>
                <w:szCs w:val="24"/>
              </w:rPr>
              <w:t>euro</w:t>
            </w:r>
            <w:proofErr w:type="spellEnd"/>
            <w:r w:rsidRPr="00CE120E">
              <w:rPr>
                <w:rFonts w:cs="Times New Roman"/>
                <w:sz w:val="24"/>
                <w:szCs w:val="24"/>
              </w:rPr>
              <w:t>, vērtējums kritērijā tiek noteikts „Jā, ar nosacījumu” un tiek izvirzīts nosacījums veikt nodokļu parādu nomaksu. Savukārt, ja uzņēmumam ir ar VID panākta vienošanās par nodokļu nomaksu un izveidots atmaksas grafiks, konkrētā punkta ietvaros tiks uzskatīts, ka nodokļu parādu nav.</w:t>
            </w:r>
          </w:p>
          <w:p w:rsidR="00C5070A" w:rsidRPr="00CE120E" w:rsidRDefault="00C5070A" w:rsidP="00C5070A">
            <w:pPr>
              <w:rPr>
                <w:rFonts w:cs="Times New Roman"/>
                <w:sz w:val="24"/>
                <w:szCs w:val="24"/>
              </w:rPr>
            </w:pPr>
            <w:r w:rsidRPr="00CE120E">
              <w:rPr>
                <w:rFonts w:cs="Times New Roman"/>
                <w:sz w:val="24"/>
                <w:szCs w:val="24"/>
              </w:rPr>
              <w:t>Projekta iesniedzējam līdz ar projekta iesniegumu jāiesniedz vienošanos ar VID apliecinošas dokumentācijas kopija.</w:t>
            </w:r>
          </w:p>
        </w:tc>
      </w:tr>
      <w:bookmarkEnd w:id="0"/>
    </w:tbl>
    <w:p w:rsidR="00F80F8E" w:rsidRDefault="00F80F8E"/>
    <w:sectPr w:rsidR="00F80F8E" w:rsidSect="00282F3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81845"/>
    <w:multiLevelType w:val="hybridMultilevel"/>
    <w:tmpl w:val="961AF932"/>
    <w:lvl w:ilvl="0" w:tplc="C69AA626">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4C0250"/>
    <w:multiLevelType w:val="hybridMultilevel"/>
    <w:tmpl w:val="112E52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92B47CCC">
      <w:start w:val="1"/>
      <w:numFmt w:val="decimal"/>
      <w:lvlText w:val="%4."/>
      <w:lvlJc w:val="left"/>
      <w:pPr>
        <w:ind w:left="2880" w:hanging="360"/>
      </w:pPr>
      <w:rPr>
        <w:rFonts w:ascii="Times New Roman" w:eastAsiaTheme="minorHAnsi" w:hAnsi="Times New Roman" w:cstheme="minorBidi"/>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DE75E22"/>
    <w:multiLevelType w:val="hybridMultilevel"/>
    <w:tmpl w:val="A15A9B92"/>
    <w:lvl w:ilvl="0" w:tplc="CD68B2E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33"/>
    <w:rsid w:val="00020C29"/>
    <w:rsid w:val="002316F7"/>
    <w:rsid w:val="00282F33"/>
    <w:rsid w:val="0047088F"/>
    <w:rsid w:val="00C5070A"/>
    <w:rsid w:val="00EE595F"/>
    <w:rsid w:val="00F76FC5"/>
    <w:rsid w:val="00F80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1CB2-651D-46D0-B08E-13D440D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F7"/>
    <w:pPr>
      <w:spacing w:after="0" w:line="240" w:lineRule="auto"/>
      <w:jc w:val="both"/>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F33"/>
    <w:pPr>
      <w:ind w:left="720"/>
      <w:contextualSpacing/>
    </w:pPr>
  </w:style>
  <w:style w:type="character" w:styleId="Hyperlink">
    <w:name w:val="Hyperlink"/>
    <w:basedOn w:val="DefaultParagraphFont"/>
    <w:uiPriority w:val="99"/>
    <w:semiHidden/>
    <w:unhideWhenUsed/>
    <w:rsid w:val="00282F33"/>
    <w:rPr>
      <w:color w:val="0000FF"/>
      <w:u w:val="single"/>
    </w:rPr>
  </w:style>
  <w:style w:type="paragraph" w:styleId="NormalWeb">
    <w:name w:val="Normal (Web)"/>
    <w:basedOn w:val="Normal"/>
    <w:uiPriority w:val="99"/>
    <w:semiHidden/>
    <w:unhideWhenUsed/>
    <w:rsid w:val="00EE595F"/>
    <w:pPr>
      <w:spacing w:before="100" w:beforeAutospacing="1" w:after="100" w:afterAutospacing="1"/>
      <w:jc w:val="left"/>
    </w:pPr>
    <w:rPr>
      <w:rFonts w:eastAsiaTheme="minorHAnsi" w:cs="Times New Roman"/>
      <w:sz w:val="24"/>
      <w:szCs w:val="24"/>
      <w:lang w:eastAsia="lv-LV"/>
    </w:rPr>
  </w:style>
  <w:style w:type="paragraph" w:customStyle="1" w:styleId="tv213">
    <w:name w:val="tv213"/>
    <w:basedOn w:val="Normal"/>
    <w:rsid w:val="0047088F"/>
    <w:pPr>
      <w:spacing w:before="100" w:beforeAutospacing="1" w:after="100" w:afterAutospacing="1"/>
      <w:jc w:val="left"/>
    </w:pPr>
    <w:rPr>
      <w:rFonts w:eastAsiaTheme="minorHAns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0727">
      <w:bodyDiv w:val="1"/>
      <w:marLeft w:val="0"/>
      <w:marRight w:val="0"/>
      <w:marTop w:val="0"/>
      <w:marBottom w:val="0"/>
      <w:divBdr>
        <w:top w:val="none" w:sz="0" w:space="0" w:color="auto"/>
        <w:left w:val="none" w:sz="0" w:space="0" w:color="auto"/>
        <w:bottom w:val="none" w:sz="0" w:space="0" w:color="auto"/>
        <w:right w:val="none" w:sz="0" w:space="0" w:color="auto"/>
      </w:divBdr>
    </w:div>
    <w:div w:id="331419808">
      <w:bodyDiv w:val="1"/>
      <w:marLeft w:val="0"/>
      <w:marRight w:val="0"/>
      <w:marTop w:val="0"/>
      <w:marBottom w:val="0"/>
      <w:divBdr>
        <w:top w:val="none" w:sz="0" w:space="0" w:color="auto"/>
        <w:left w:val="none" w:sz="0" w:space="0" w:color="auto"/>
        <w:bottom w:val="none" w:sz="0" w:space="0" w:color="auto"/>
        <w:right w:val="none" w:sz="0" w:space="0" w:color="auto"/>
      </w:divBdr>
    </w:div>
    <w:div w:id="877664600">
      <w:bodyDiv w:val="1"/>
      <w:marLeft w:val="0"/>
      <w:marRight w:val="0"/>
      <w:marTop w:val="0"/>
      <w:marBottom w:val="0"/>
      <w:divBdr>
        <w:top w:val="none" w:sz="0" w:space="0" w:color="auto"/>
        <w:left w:val="none" w:sz="0" w:space="0" w:color="auto"/>
        <w:bottom w:val="none" w:sz="0" w:space="0" w:color="auto"/>
        <w:right w:val="none" w:sz="0" w:space="0" w:color="auto"/>
      </w:divBdr>
    </w:div>
    <w:div w:id="888734475">
      <w:bodyDiv w:val="1"/>
      <w:marLeft w:val="0"/>
      <w:marRight w:val="0"/>
      <w:marTop w:val="0"/>
      <w:marBottom w:val="0"/>
      <w:divBdr>
        <w:top w:val="none" w:sz="0" w:space="0" w:color="auto"/>
        <w:left w:val="none" w:sz="0" w:space="0" w:color="auto"/>
        <w:bottom w:val="none" w:sz="0" w:space="0" w:color="auto"/>
        <w:right w:val="none" w:sz="0" w:space="0" w:color="auto"/>
      </w:divBdr>
    </w:div>
    <w:div w:id="917324839">
      <w:bodyDiv w:val="1"/>
      <w:marLeft w:val="0"/>
      <w:marRight w:val="0"/>
      <w:marTop w:val="0"/>
      <w:marBottom w:val="0"/>
      <w:divBdr>
        <w:top w:val="none" w:sz="0" w:space="0" w:color="auto"/>
        <w:left w:val="none" w:sz="0" w:space="0" w:color="auto"/>
        <w:bottom w:val="none" w:sz="0" w:space="0" w:color="auto"/>
        <w:right w:val="none" w:sz="0" w:space="0" w:color="auto"/>
      </w:divBdr>
    </w:div>
    <w:div w:id="1168906535">
      <w:bodyDiv w:val="1"/>
      <w:marLeft w:val="0"/>
      <w:marRight w:val="0"/>
      <w:marTop w:val="0"/>
      <w:marBottom w:val="0"/>
      <w:divBdr>
        <w:top w:val="none" w:sz="0" w:space="0" w:color="auto"/>
        <w:left w:val="none" w:sz="0" w:space="0" w:color="auto"/>
        <w:bottom w:val="none" w:sz="0" w:space="0" w:color="auto"/>
        <w:right w:val="none" w:sz="0" w:space="0" w:color="auto"/>
      </w:divBdr>
    </w:div>
    <w:div w:id="14464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2/360/oj/?locale=LV" TargetMode="External"/><Relationship Id="rId13" Type="http://schemas.openxmlformats.org/officeDocument/2006/relationships/hyperlink" Target="http://eur-lex.europa.eu/eli/reg/2013/1407/oj/?locale=LV" TargetMode="External"/><Relationship Id="rId3" Type="http://schemas.openxmlformats.org/officeDocument/2006/relationships/settings" Target="settings.xml"/><Relationship Id="rId7" Type="http://schemas.openxmlformats.org/officeDocument/2006/relationships/hyperlink" Target="http://eur-lex.europa.eu/eli/reg/2006/1998/oj/?locale=LV" TargetMode="External"/><Relationship Id="rId12" Type="http://schemas.openxmlformats.org/officeDocument/2006/relationships/hyperlink" Target="http://eur-lex.europa.eu/eli/reg/2013/1407/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reg/2013/1303/oj/?locale=LV" TargetMode="External"/><Relationship Id="rId11" Type="http://schemas.openxmlformats.org/officeDocument/2006/relationships/hyperlink" Target="http://eur-lex.europa.eu/eli/reg/2013/1407/oj/?locale=LV" TargetMode="External"/><Relationship Id="rId5" Type="http://schemas.openxmlformats.org/officeDocument/2006/relationships/hyperlink" Target="https://likumi.lv/ta/id/50601-informacijas-atklatibas-likums" TargetMode="External"/><Relationship Id="rId15" Type="http://schemas.openxmlformats.org/officeDocument/2006/relationships/theme" Target="theme/theme1.xml"/><Relationship Id="rId10" Type="http://schemas.openxmlformats.org/officeDocument/2006/relationships/hyperlink" Target="http://eur-lex.europa.eu/eli/reg/2014/717/oj/?locale=LV" TargetMode="External"/><Relationship Id="rId4" Type="http://schemas.openxmlformats.org/officeDocument/2006/relationships/webSettings" Target="webSettings.xml"/><Relationship Id="rId9" Type="http://schemas.openxmlformats.org/officeDocument/2006/relationships/hyperlink" Target="http://eur-lex.europa.eu/eli/reg/2013/1408/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CCA86F4A</Template>
  <TotalTime>37</TotalTime>
  <Pages>5</Pages>
  <Words>7927</Words>
  <Characters>4519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Brikmane</dc:creator>
  <cp:keywords/>
  <dc:description/>
  <cp:lastModifiedBy>Evelīna Brikmane</cp:lastModifiedBy>
  <cp:revision>3</cp:revision>
  <dcterms:created xsi:type="dcterms:W3CDTF">2018-01-23T06:39:00Z</dcterms:created>
  <dcterms:modified xsi:type="dcterms:W3CDTF">2018-01-30T06:15:00Z</dcterms:modified>
</cp:coreProperties>
</file>