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45" w:rsidRDefault="00B12C45" w:rsidP="00DC4484">
      <w:pPr>
        <w:spacing w:after="0"/>
        <w:jc w:val="right"/>
        <w:rPr>
          <w:rFonts w:ascii="Times New Roman" w:hAnsi="Times New Roman" w:cs="Times New Roman"/>
          <w:i/>
        </w:rPr>
      </w:pPr>
      <w:r>
        <w:rPr>
          <w:rFonts w:ascii="Times New Roman" w:hAnsi="Times New Roman" w:cs="Times New Roman"/>
          <w:i/>
        </w:rPr>
        <w:t>Sagatavots 08.10.2018.</w:t>
      </w:r>
    </w:p>
    <w:p w:rsidR="00DC4484" w:rsidRDefault="004C7134" w:rsidP="00DC4484">
      <w:pPr>
        <w:spacing w:after="0"/>
        <w:jc w:val="right"/>
        <w:rPr>
          <w:rFonts w:ascii="Times New Roman" w:hAnsi="Times New Roman" w:cs="Times New Roman"/>
          <w:i/>
          <w:color w:val="FF0000"/>
        </w:rPr>
      </w:pPr>
      <w:r>
        <w:rPr>
          <w:rFonts w:ascii="Times New Roman" w:hAnsi="Times New Roman" w:cs="Times New Roman"/>
          <w:i/>
          <w:color w:val="FF0000"/>
        </w:rPr>
        <w:t>Aktualizēts</w:t>
      </w:r>
      <w:r w:rsidR="00DC4484">
        <w:rPr>
          <w:rFonts w:ascii="Times New Roman" w:hAnsi="Times New Roman" w:cs="Times New Roman"/>
          <w:i/>
          <w:color w:val="FF0000"/>
        </w:rPr>
        <w:t xml:space="preserve"> 1</w:t>
      </w:r>
      <w:r w:rsidR="008F710B">
        <w:rPr>
          <w:rFonts w:ascii="Times New Roman" w:hAnsi="Times New Roman" w:cs="Times New Roman"/>
          <w:i/>
          <w:color w:val="FF0000"/>
        </w:rPr>
        <w:t>1</w:t>
      </w:r>
      <w:r w:rsidR="00DC4484">
        <w:rPr>
          <w:rFonts w:ascii="Times New Roman" w:hAnsi="Times New Roman" w:cs="Times New Roman"/>
          <w:i/>
          <w:color w:val="FF0000"/>
        </w:rPr>
        <w:t>.10.2018.</w:t>
      </w:r>
    </w:p>
    <w:p w:rsidR="00DC4484" w:rsidRPr="00DC4484" w:rsidRDefault="00DC4484" w:rsidP="00DC4484">
      <w:pPr>
        <w:spacing w:after="0"/>
        <w:jc w:val="right"/>
        <w:rPr>
          <w:rFonts w:ascii="Times New Roman" w:hAnsi="Times New Roman" w:cs="Times New Roman"/>
          <w:i/>
          <w:color w:val="FF0000"/>
        </w:rPr>
      </w:pPr>
    </w:p>
    <w:tbl>
      <w:tblPr>
        <w:tblStyle w:val="TableGrid"/>
        <w:tblW w:w="10632" w:type="dxa"/>
        <w:tblInd w:w="-1139" w:type="dxa"/>
        <w:tblLook w:val="04A0" w:firstRow="1" w:lastRow="0" w:firstColumn="1" w:lastColumn="0" w:noHBand="0" w:noVBand="1"/>
      </w:tblPr>
      <w:tblGrid>
        <w:gridCol w:w="10632"/>
      </w:tblGrid>
      <w:tr w:rsidR="004A0DCA" w:rsidRPr="002D622B" w:rsidTr="00B539B2">
        <w:tc>
          <w:tcPr>
            <w:tcW w:w="10632" w:type="dxa"/>
            <w:tcBorders>
              <w:bottom w:val="single" w:sz="4" w:space="0" w:color="auto"/>
            </w:tcBorders>
            <w:shd w:val="clear" w:color="auto" w:fill="D9D9D9" w:themeFill="background1" w:themeFillShade="D9"/>
          </w:tcPr>
          <w:p w:rsidR="004A0DCA" w:rsidRPr="002D622B" w:rsidRDefault="004A0DCA" w:rsidP="004A0DCA">
            <w:pPr>
              <w:spacing w:before="120" w:after="120"/>
              <w:jc w:val="center"/>
              <w:rPr>
                <w:rFonts w:ascii="Times New Roman" w:hAnsi="Times New Roman" w:cs="Times New Roman"/>
                <w:b/>
                <w:sz w:val="24"/>
                <w:szCs w:val="24"/>
              </w:rPr>
            </w:pPr>
            <w:r w:rsidRPr="002D622B">
              <w:rPr>
                <w:rFonts w:ascii="Times New Roman" w:hAnsi="Times New Roman" w:cs="Times New Roman"/>
                <w:b/>
                <w:sz w:val="24"/>
                <w:szCs w:val="24"/>
              </w:rPr>
              <w:t xml:space="preserve">Atbildes uz saņemtajiem jautājumiem par </w:t>
            </w:r>
          </w:p>
          <w:p w:rsidR="004A0DCA" w:rsidRPr="002D622B" w:rsidRDefault="004A0DCA" w:rsidP="00EA4CB1">
            <w:pPr>
              <w:rPr>
                <w:rFonts w:ascii="Times New Roman" w:hAnsi="Times New Roman" w:cs="Times New Roman"/>
              </w:rPr>
            </w:pPr>
            <w:r w:rsidRPr="004A0DCA">
              <w:rPr>
                <w:rFonts w:ascii="Times New Roman" w:hAnsi="Times New Roman"/>
                <w:b/>
                <w:sz w:val="24"/>
                <w:szCs w:val="24"/>
              </w:rPr>
              <w:t>10.1.1.</w:t>
            </w:r>
            <w:r w:rsidR="00CB79FD">
              <w:rPr>
                <w:rFonts w:ascii="Times New Roman" w:hAnsi="Times New Roman"/>
                <w:b/>
                <w:sz w:val="24"/>
                <w:szCs w:val="24"/>
              </w:rPr>
              <w:t xml:space="preserve"> </w:t>
            </w:r>
            <w:r>
              <w:rPr>
                <w:rFonts w:ascii="Times New Roman" w:hAnsi="Times New Roman"/>
                <w:sz w:val="24"/>
                <w:szCs w:val="24"/>
              </w:rPr>
              <w:t>atbalsta mērķa “</w:t>
            </w:r>
            <w:r>
              <w:rPr>
                <w:rFonts w:ascii="Times New Roman" w:hAnsi="Times New Roman"/>
                <w:spacing w:val="5"/>
                <w:sz w:val="24"/>
                <w:szCs w:val="24"/>
              </w:rPr>
              <w:t>Palielināt Kohēzijas politikas fondu izvērtēšanas kapacitāti</w:t>
            </w:r>
            <w:r>
              <w:rPr>
                <w:rFonts w:ascii="Times New Roman" w:hAnsi="Times New Roman"/>
                <w:sz w:val="24"/>
                <w:szCs w:val="24"/>
              </w:rPr>
              <w:t xml:space="preserve">” </w:t>
            </w:r>
            <w:r w:rsidRPr="004A0DCA">
              <w:rPr>
                <w:rFonts w:ascii="Times New Roman" w:hAnsi="Times New Roman"/>
                <w:b/>
                <w:sz w:val="24"/>
                <w:szCs w:val="24"/>
              </w:rPr>
              <w:t>10.1.2.</w:t>
            </w:r>
            <w:r w:rsidR="00CB79FD">
              <w:rPr>
                <w:rFonts w:ascii="Times New Roman" w:hAnsi="Times New Roman"/>
                <w:b/>
                <w:sz w:val="24"/>
                <w:szCs w:val="24"/>
              </w:rPr>
              <w:t xml:space="preserve"> </w:t>
            </w:r>
            <w:r>
              <w:rPr>
                <w:rFonts w:ascii="Times New Roman" w:hAnsi="Times New Roman"/>
                <w:sz w:val="24"/>
                <w:szCs w:val="24"/>
              </w:rPr>
              <w:t xml:space="preserve">atbalsta mērķa “Paaugstināt informētību par Kohēzijas politikas fondiem, sniedzot atbalstu informācijas un komunikācijas pasākumiem”, </w:t>
            </w:r>
            <w:r w:rsidRPr="004A0DCA">
              <w:rPr>
                <w:rFonts w:ascii="Times New Roman" w:hAnsi="Times New Roman"/>
                <w:b/>
                <w:sz w:val="24"/>
                <w:szCs w:val="24"/>
              </w:rPr>
              <w:t>10.1.3.</w:t>
            </w:r>
            <w:r w:rsidR="00CB79FD">
              <w:rPr>
                <w:rFonts w:ascii="Times New Roman" w:hAnsi="Times New Roman"/>
                <w:b/>
                <w:sz w:val="24"/>
                <w:szCs w:val="24"/>
              </w:rPr>
              <w:t xml:space="preserve"> </w:t>
            </w:r>
            <w:r>
              <w:rPr>
                <w:rFonts w:ascii="Times New Roman" w:hAnsi="Times New Roman"/>
                <w:sz w:val="24"/>
                <w:szCs w:val="24"/>
              </w:rPr>
              <w:t xml:space="preserve">atbalsta mērķa “Atbalstīt  un uzlabot Kohēzijas politikas fondu ieviešanu, uzraudzību, kontroli, revīziju, horizontālās politikas principu koordinēšanu un pilnveidot e-Kohēziju”, </w:t>
            </w:r>
            <w:r w:rsidRPr="004A0DCA">
              <w:rPr>
                <w:rFonts w:ascii="Times New Roman" w:hAnsi="Times New Roman"/>
                <w:b/>
                <w:sz w:val="24"/>
                <w:szCs w:val="24"/>
              </w:rPr>
              <w:t>11.1.1.</w:t>
            </w:r>
            <w:r w:rsidR="00CB79FD">
              <w:rPr>
                <w:rFonts w:ascii="Times New Roman" w:hAnsi="Times New Roman"/>
                <w:b/>
                <w:sz w:val="24"/>
                <w:szCs w:val="24"/>
              </w:rPr>
              <w:t xml:space="preserve"> </w:t>
            </w:r>
            <w:r>
              <w:rPr>
                <w:rFonts w:ascii="Times New Roman" w:hAnsi="Times New Roman"/>
                <w:sz w:val="24"/>
                <w:szCs w:val="24"/>
              </w:rPr>
              <w:t>atbalsta mērķa “</w:t>
            </w:r>
            <w:r>
              <w:rPr>
                <w:rFonts w:ascii="Times New Roman" w:hAnsi="Times New Roman"/>
                <w:spacing w:val="5"/>
                <w:sz w:val="24"/>
                <w:szCs w:val="24"/>
              </w:rPr>
              <w:t>Atbalstīt un pilnveidot Kohēzijas politikas fondu plānošanu, ieviešanu, uzraudzību un kontroli</w:t>
            </w:r>
            <w:r>
              <w:rPr>
                <w:rFonts w:ascii="Times New Roman" w:hAnsi="Times New Roman"/>
                <w:sz w:val="24"/>
                <w:szCs w:val="24"/>
              </w:rPr>
              <w:t xml:space="preserve">” un </w:t>
            </w:r>
            <w:r w:rsidRPr="004A0DCA">
              <w:rPr>
                <w:rFonts w:ascii="Times New Roman" w:hAnsi="Times New Roman"/>
                <w:b/>
                <w:sz w:val="24"/>
                <w:szCs w:val="24"/>
              </w:rPr>
              <w:t>12.1.1.</w:t>
            </w:r>
            <w:r w:rsidR="00CB79FD">
              <w:rPr>
                <w:rFonts w:ascii="Times New Roman" w:hAnsi="Times New Roman"/>
                <w:b/>
                <w:sz w:val="24"/>
                <w:szCs w:val="24"/>
              </w:rPr>
              <w:t xml:space="preserve"> </w:t>
            </w:r>
            <w:r>
              <w:rPr>
                <w:rFonts w:ascii="Times New Roman" w:hAnsi="Times New Roman"/>
                <w:sz w:val="24"/>
                <w:szCs w:val="24"/>
              </w:rPr>
              <w:t>atbalsta mērķa “</w:t>
            </w:r>
            <w:r>
              <w:rPr>
                <w:rFonts w:ascii="Times New Roman" w:hAnsi="Times New Roman"/>
                <w:spacing w:val="5"/>
                <w:sz w:val="24"/>
                <w:szCs w:val="24"/>
              </w:rPr>
              <w:t>Uzlabot Kohēzijas politikas fondu plānošanu, ieviešanu, uzraudzību, kontroli, revīziju un atbalstīt e-Kohēziju</w:t>
            </w:r>
            <w:r>
              <w:rPr>
                <w:rFonts w:ascii="Times New Roman" w:hAnsi="Times New Roman"/>
                <w:sz w:val="24"/>
                <w:szCs w:val="24"/>
              </w:rPr>
              <w:t xml:space="preserve">” </w:t>
            </w:r>
            <w:r w:rsidRPr="00F00C53">
              <w:rPr>
                <w:rFonts w:ascii="Times New Roman" w:hAnsi="Times New Roman"/>
                <w:b/>
                <w:sz w:val="24"/>
                <w:szCs w:val="24"/>
              </w:rPr>
              <w:t>otro projektu iesniegumu atlases kārtu</w:t>
            </w:r>
          </w:p>
        </w:tc>
      </w:tr>
      <w:tr w:rsidR="006D42CA" w:rsidRPr="002D622B" w:rsidTr="00B539B2">
        <w:tc>
          <w:tcPr>
            <w:tcW w:w="10632" w:type="dxa"/>
            <w:tcBorders>
              <w:left w:val="nil"/>
              <w:bottom w:val="single" w:sz="4" w:space="0" w:color="auto"/>
              <w:right w:val="nil"/>
            </w:tcBorders>
            <w:shd w:val="clear" w:color="auto" w:fill="FFFFFF" w:themeFill="background1"/>
          </w:tcPr>
          <w:p w:rsidR="006D42CA" w:rsidRPr="002D622B" w:rsidRDefault="006D42CA" w:rsidP="004A0DCA">
            <w:pPr>
              <w:spacing w:before="120" w:after="120"/>
              <w:jc w:val="center"/>
              <w:rPr>
                <w:rFonts w:ascii="Times New Roman" w:hAnsi="Times New Roman" w:cs="Times New Roman"/>
                <w:b/>
                <w:sz w:val="24"/>
                <w:szCs w:val="24"/>
              </w:rPr>
            </w:pPr>
          </w:p>
        </w:tc>
      </w:tr>
      <w:tr w:rsidR="00664090" w:rsidRPr="002D622B" w:rsidTr="00B539B2">
        <w:tc>
          <w:tcPr>
            <w:tcW w:w="10632" w:type="dxa"/>
            <w:tcBorders>
              <w:bottom w:val="single" w:sz="4" w:space="0" w:color="auto"/>
            </w:tcBorders>
          </w:tcPr>
          <w:p w:rsidR="00664090" w:rsidRPr="002D622B" w:rsidRDefault="00664090" w:rsidP="00DD1897">
            <w:pPr>
              <w:rPr>
                <w:rFonts w:ascii="Times New Roman" w:hAnsi="Times New Roman" w:cs="Times New Roman"/>
              </w:rPr>
            </w:pPr>
            <w:r w:rsidRPr="002D622B">
              <w:rPr>
                <w:rFonts w:ascii="Times New Roman" w:hAnsi="Times New Roman" w:cs="Times New Roman"/>
              </w:rPr>
              <w:t>Saīsinājumi un apzīmējumi:</w:t>
            </w:r>
          </w:p>
          <w:p w:rsidR="00664090" w:rsidRDefault="00664090" w:rsidP="00DD1897">
            <w:pPr>
              <w:jc w:val="both"/>
              <w:rPr>
                <w:rFonts w:ascii="Times New Roman" w:hAnsi="Times New Roman" w:cs="Times New Roman"/>
              </w:rPr>
            </w:pPr>
            <w:r>
              <w:rPr>
                <w:rFonts w:ascii="Times New Roman" w:hAnsi="Times New Roman" w:cs="Times New Roman"/>
                <w:b/>
              </w:rPr>
              <w:t>CFLA, sadarbības ie</w:t>
            </w:r>
            <w:r w:rsidRPr="002D622B">
              <w:rPr>
                <w:rFonts w:ascii="Times New Roman" w:hAnsi="Times New Roman" w:cs="Times New Roman"/>
                <w:b/>
              </w:rPr>
              <w:t xml:space="preserve">stāde </w:t>
            </w:r>
            <w:r w:rsidRPr="002D622B">
              <w:rPr>
                <w:rFonts w:ascii="Times New Roman" w:hAnsi="Times New Roman" w:cs="Times New Roman"/>
              </w:rPr>
              <w:t>– Centrālā finanšu un līgumu aģentūra;</w:t>
            </w:r>
          </w:p>
          <w:p w:rsidR="007D4739" w:rsidRPr="007D4739" w:rsidRDefault="007D4739" w:rsidP="00DD1897">
            <w:pPr>
              <w:jc w:val="both"/>
              <w:rPr>
                <w:rFonts w:ascii="Times New Roman" w:hAnsi="Times New Roman" w:cs="Times New Roman"/>
                <w:bCs/>
                <w:sz w:val="24"/>
                <w:szCs w:val="24"/>
                <w:shd w:val="clear" w:color="auto" w:fill="FFFFFF"/>
              </w:rPr>
            </w:pPr>
            <w:r w:rsidRPr="007D4739">
              <w:rPr>
                <w:rFonts w:ascii="Times New Roman" w:hAnsi="Times New Roman" w:cs="Times New Roman"/>
                <w:b/>
              </w:rPr>
              <w:t>KP VIS</w:t>
            </w:r>
            <w:r>
              <w:rPr>
                <w:rFonts w:ascii="Times New Roman" w:hAnsi="Times New Roman" w:cs="Times New Roman"/>
              </w:rPr>
              <w:t xml:space="preserve"> - </w:t>
            </w:r>
            <w:r w:rsidRPr="007D4739">
              <w:rPr>
                <w:rFonts w:ascii="Times New Roman" w:hAnsi="Times New Roman" w:cs="Times New Roman"/>
                <w:bCs/>
                <w:sz w:val="24"/>
                <w:szCs w:val="24"/>
                <w:shd w:val="clear" w:color="auto" w:fill="FFFFFF"/>
              </w:rPr>
              <w:t>Kohēzijas politikas fondu vadības informācijas sistēm</w:t>
            </w:r>
            <w:r>
              <w:rPr>
                <w:rFonts w:ascii="Times New Roman" w:hAnsi="Times New Roman" w:cs="Times New Roman"/>
                <w:bCs/>
                <w:sz w:val="24"/>
                <w:szCs w:val="24"/>
                <w:shd w:val="clear" w:color="auto" w:fill="FFFFFF"/>
              </w:rPr>
              <w:t>a</w:t>
            </w:r>
            <w:r w:rsidRPr="007D4739">
              <w:rPr>
                <w:rFonts w:ascii="Times New Roman" w:hAnsi="Times New Roman" w:cs="Times New Roman"/>
                <w:bCs/>
                <w:sz w:val="24"/>
                <w:szCs w:val="24"/>
                <w:shd w:val="clear" w:color="auto" w:fill="FFFFFF"/>
              </w:rPr>
              <w:t xml:space="preserve"> 2014.–2020. gadam</w:t>
            </w:r>
            <w:r>
              <w:rPr>
                <w:rFonts w:ascii="Times New Roman" w:hAnsi="Times New Roman" w:cs="Times New Roman"/>
                <w:bCs/>
                <w:sz w:val="24"/>
                <w:szCs w:val="24"/>
                <w:shd w:val="clear" w:color="auto" w:fill="FFFFFF"/>
              </w:rPr>
              <w:t>;</w:t>
            </w:r>
          </w:p>
          <w:p w:rsidR="00664090" w:rsidRPr="002D622B" w:rsidRDefault="00664090" w:rsidP="00DD1897">
            <w:pPr>
              <w:jc w:val="both"/>
              <w:rPr>
                <w:rFonts w:ascii="Times New Roman" w:hAnsi="Times New Roman" w:cs="Times New Roman"/>
              </w:rPr>
            </w:pPr>
            <w:r w:rsidRPr="002D622B">
              <w:rPr>
                <w:rFonts w:ascii="Times New Roman" w:hAnsi="Times New Roman" w:cs="Times New Roman"/>
                <w:b/>
              </w:rPr>
              <w:t>MK noteikumi</w:t>
            </w:r>
            <w:r>
              <w:rPr>
                <w:rFonts w:ascii="Times New Roman" w:hAnsi="Times New Roman" w:cs="Times New Roman"/>
                <w:b/>
              </w:rPr>
              <w:t xml:space="preserve"> </w:t>
            </w:r>
            <w:r w:rsidRPr="002D622B">
              <w:rPr>
                <w:rFonts w:ascii="Times New Roman" w:hAnsi="Times New Roman" w:cs="Times New Roman"/>
              </w:rPr>
              <w:t xml:space="preserve">– </w:t>
            </w:r>
            <w:r w:rsidRPr="003F641E">
              <w:rPr>
                <w:rFonts w:ascii="Times New Roman" w:hAnsi="Times New Roman" w:cs="Times New Roman"/>
                <w:sz w:val="24"/>
                <w:szCs w:val="24"/>
              </w:rPr>
              <w:t xml:space="preserve">Ministru kabineta 2018. gada </w:t>
            </w:r>
            <w:r w:rsidR="003F641E" w:rsidRPr="003F641E">
              <w:rPr>
                <w:rFonts w:ascii="Times New Roman" w:hAnsi="Times New Roman" w:cs="Times New Roman"/>
                <w:sz w:val="24"/>
                <w:szCs w:val="24"/>
              </w:rPr>
              <w:t>4.spetembra</w:t>
            </w:r>
            <w:r w:rsidRPr="003F641E">
              <w:rPr>
                <w:rFonts w:ascii="Times New Roman" w:hAnsi="Times New Roman" w:cs="Times New Roman"/>
                <w:sz w:val="24"/>
                <w:szCs w:val="24"/>
              </w:rPr>
              <w:t xml:space="preserve"> noteikumi Nr.</w:t>
            </w:r>
            <w:r w:rsidR="003F641E" w:rsidRPr="003F641E">
              <w:rPr>
                <w:rFonts w:ascii="Times New Roman" w:hAnsi="Times New Roman" w:cs="Times New Roman"/>
                <w:sz w:val="24"/>
                <w:szCs w:val="24"/>
              </w:rPr>
              <w:t>562</w:t>
            </w:r>
            <w:r w:rsidRPr="003F641E">
              <w:rPr>
                <w:rFonts w:ascii="Times New Roman" w:hAnsi="Times New Roman" w:cs="Times New Roman"/>
                <w:sz w:val="24"/>
                <w:szCs w:val="24"/>
              </w:rPr>
              <w:t xml:space="preserve"> “</w:t>
            </w:r>
            <w:r w:rsidR="00EA4CB1">
              <w:rPr>
                <w:rFonts w:ascii="Times New Roman" w:hAnsi="Times New Roman" w:cs="Times New Roman"/>
                <w:bCs/>
                <w:sz w:val="24"/>
                <w:szCs w:val="24"/>
                <w:shd w:val="clear" w:color="auto" w:fill="FFFFFF"/>
              </w:rPr>
              <w:t>Darbības programmas “</w:t>
            </w:r>
            <w:r w:rsidR="003F641E" w:rsidRPr="003F641E">
              <w:rPr>
                <w:rFonts w:ascii="Times New Roman" w:hAnsi="Times New Roman" w:cs="Times New Roman"/>
                <w:bCs/>
                <w:sz w:val="24"/>
                <w:szCs w:val="24"/>
                <w:shd w:val="clear" w:color="auto" w:fill="FFFFFF"/>
              </w:rPr>
              <w:t>Izaugsme un nodarbinātība</w:t>
            </w:r>
            <w:r w:rsidR="00EA4CB1">
              <w:rPr>
                <w:rFonts w:ascii="Times New Roman" w:hAnsi="Times New Roman" w:cs="Times New Roman"/>
                <w:bCs/>
                <w:sz w:val="24"/>
                <w:szCs w:val="24"/>
                <w:shd w:val="clear" w:color="auto" w:fill="FFFFFF"/>
              </w:rPr>
              <w:t>” 2.10. prioritārā virziena “Tehniskā palīdzība “</w:t>
            </w:r>
            <w:r w:rsidR="003F641E" w:rsidRPr="003F641E">
              <w:rPr>
                <w:rFonts w:ascii="Times New Roman" w:hAnsi="Times New Roman" w:cs="Times New Roman"/>
                <w:bCs/>
                <w:sz w:val="24"/>
                <w:szCs w:val="24"/>
                <w:shd w:val="clear" w:color="auto" w:fill="FFFFFF"/>
              </w:rPr>
              <w:t>Eiropas Sociālā fonda atbalsts Kohēzijas politikas fondu ieviešanai un vadībai</w:t>
            </w:r>
            <w:r w:rsidR="00EA4CB1">
              <w:rPr>
                <w:rFonts w:ascii="Times New Roman" w:hAnsi="Times New Roman" w:cs="Times New Roman"/>
                <w:bCs/>
                <w:sz w:val="24"/>
                <w:szCs w:val="24"/>
                <w:shd w:val="clear" w:color="auto" w:fill="FFFFFF"/>
              </w:rPr>
              <w:t>””, 2.11. prioritārā virziena “Tehniskā palīdzība “</w:t>
            </w:r>
            <w:r w:rsidR="003F641E" w:rsidRPr="003F641E">
              <w:rPr>
                <w:rFonts w:ascii="Times New Roman" w:hAnsi="Times New Roman" w:cs="Times New Roman"/>
                <w:bCs/>
                <w:sz w:val="24"/>
                <w:szCs w:val="24"/>
                <w:shd w:val="clear" w:color="auto" w:fill="FFFFFF"/>
              </w:rPr>
              <w:t>Eiropas Reģionālās attīstības fonda atbalsts Kohēzijas politikas fondu ieviešanai un vadībai</w:t>
            </w:r>
            <w:r w:rsidR="00EA4CB1">
              <w:rPr>
                <w:rFonts w:ascii="Times New Roman" w:hAnsi="Times New Roman" w:cs="Times New Roman"/>
                <w:bCs/>
                <w:sz w:val="24"/>
                <w:szCs w:val="24"/>
                <w:shd w:val="clear" w:color="auto" w:fill="FFFFFF"/>
              </w:rPr>
              <w:t>”” un 2.12. prioritārā virziena “</w:t>
            </w:r>
            <w:r w:rsidR="003F641E" w:rsidRPr="003F641E">
              <w:rPr>
                <w:rFonts w:ascii="Times New Roman" w:hAnsi="Times New Roman" w:cs="Times New Roman"/>
                <w:bCs/>
                <w:sz w:val="24"/>
                <w:szCs w:val="24"/>
                <w:shd w:val="clear" w:color="auto" w:fill="FFFFFF"/>
              </w:rPr>
              <w:t xml:space="preserve">Tehniskā palīdzība </w:t>
            </w:r>
            <w:r w:rsidR="00EA4CB1">
              <w:rPr>
                <w:rFonts w:ascii="Times New Roman" w:hAnsi="Times New Roman" w:cs="Times New Roman"/>
                <w:bCs/>
                <w:sz w:val="24"/>
                <w:szCs w:val="24"/>
                <w:shd w:val="clear" w:color="auto" w:fill="FFFFFF"/>
              </w:rPr>
              <w:t>“</w:t>
            </w:r>
            <w:r w:rsidR="003F641E" w:rsidRPr="003F641E">
              <w:rPr>
                <w:rFonts w:ascii="Times New Roman" w:hAnsi="Times New Roman" w:cs="Times New Roman"/>
                <w:bCs/>
                <w:sz w:val="24"/>
                <w:szCs w:val="24"/>
                <w:shd w:val="clear" w:color="auto" w:fill="FFFFFF"/>
              </w:rPr>
              <w:t>Kohēzijas fonda atbalsts Kohēzijas politikas fondu ieviešanai un vadībai</w:t>
            </w:r>
            <w:r w:rsidR="00EA4CB1">
              <w:rPr>
                <w:rFonts w:ascii="Times New Roman" w:hAnsi="Times New Roman" w:cs="Times New Roman"/>
                <w:bCs/>
                <w:sz w:val="24"/>
                <w:szCs w:val="24"/>
                <w:shd w:val="clear" w:color="auto" w:fill="FFFFFF"/>
              </w:rPr>
              <w:t>””</w:t>
            </w:r>
            <w:r w:rsidR="003F641E" w:rsidRPr="003F641E">
              <w:rPr>
                <w:rFonts w:ascii="Times New Roman" w:hAnsi="Times New Roman" w:cs="Times New Roman"/>
                <w:bCs/>
                <w:sz w:val="24"/>
                <w:szCs w:val="24"/>
                <w:shd w:val="clear" w:color="auto" w:fill="FFFFFF"/>
              </w:rPr>
              <w:t xml:space="preserve"> projektu iesniegumu atlases otrās kārtas noteikumi”;</w:t>
            </w:r>
          </w:p>
          <w:p w:rsidR="00664090" w:rsidRDefault="00EA4CB1" w:rsidP="00DD1897">
            <w:pPr>
              <w:jc w:val="both"/>
              <w:rPr>
                <w:rFonts w:ascii="Times New Roman" w:hAnsi="Times New Roman" w:cs="Times New Roman"/>
              </w:rPr>
            </w:pPr>
            <w:r>
              <w:rPr>
                <w:rFonts w:ascii="Times New Roman" w:hAnsi="Times New Roman" w:cs="Times New Roman"/>
                <w:b/>
              </w:rPr>
              <w:t>A</w:t>
            </w:r>
            <w:r w:rsidR="00664090" w:rsidRPr="002D622B">
              <w:rPr>
                <w:rFonts w:ascii="Times New Roman" w:hAnsi="Times New Roman" w:cs="Times New Roman"/>
                <w:b/>
              </w:rPr>
              <w:t xml:space="preserve">M </w:t>
            </w:r>
            <w:r w:rsidR="00664090" w:rsidRPr="002D622B">
              <w:rPr>
                <w:rFonts w:ascii="Times New Roman" w:hAnsi="Times New Roman" w:cs="Times New Roman"/>
              </w:rPr>
              <w:t>–atbalsta mērķis;</w:t>
            </w:r>
          </w:p>
          <w:p w:rsidR="003F641E" w:rsidRDefault="003F641E" w:rsidP="00DD1897">
            <w:pPr>
              <w:jc w:val="both"/>
              <w:rPr>
                <w:rFonts w:ascii="Times New Roman" w:hAnsi="Times New Roman" w:cs="Times New Roman"/>
              </w:rPr>
            </w:pPr>
            <w:r w:rsidRPr="003F641E">
              <w:rPr>
                <w:rFonts w:ascii="Times New Roman" w:hAnsi="Times New Roman" w:cs="Times New Roman"/>
                <w:b/>
              </w:rPr>
              <w:t>TP</w:t>
            </w:r>
            <w:r w:rsidR="00CB79FD">
              <w:rPr>
                <w:rFonts w:ascii="Times New Roman" w:hAnsi="Times New Roman" w:cs="Times New Roman"/>
              </w:rPr>
              <w:t xml:space="preserve"> – t</w:t>
            </w:r>
            <w:r>
              <w:rPr>
                <w:rFonts w:ascii="Times New Roman" w:hAnsi="Times New Roman" w:cs="Times New Roman"/>
              </w:rPr>
              <w:t>ehniskā palīdzība</w:t>
            </w:r>
          </w:p>
          <w:p w:rsidR="00664090" w:rsidRPr="00912B9A" w:rsidRDefault="00912B9A" w:rsidP="00664090">
            <w:pPr>
              <w:jc w:val="both"/>
              <w:rPr>
                <w:rFonts w:ascii="Times New Roman" w:hAnsi="Times New Roman" w:cs="Times New Roman"/>
              </w:rPr>
            </w:pPr>
            <w:r w:rsidRPr="003F641E">
              <w:rPr>
                <w:rFonts w:ascii="Times New Roman" w:hAnsi="Times New Roman" w:cs="Times New Roman"/>
                <w:b/>
              </w:rPr>
              <w:t xml:space="preserve">VI </w:t>
            </w:r>
            <w:r>
              <w:rPr>
                <w:rFonts w:ascii="Times New Roman" w:hAnsi="Times New Roman" w:cs="Times New Roman"/>
              </w:rPr>
              <w:t>– Vadošā iestāde (Finanšu ministrija).</w:t>
            </w:r>
          </w:p>
        </w:tc>
      </w:tr>
    </w:tbl>
    <w:p w:rsidR="008912E3" w:rsidRDefault="008912E3"/>
    <w:tbl>
      <w:tblPr>
        <w:tblStyle w:val="TableGrid"/>
        <w:tblW w:w="10632" w:type="dxa"/>
        <w:tblInd w:w="-1139" w:type="dxa"/>
        <w:tblLook w:val="04A0" w:firstRow="1" w:lastRow="0" w:firstColumn="1" w:lastColumn="0" w:noHBand="0" w:noVBand="1"/>
      </w:tblPr>
      <w:tblGrid>
        <w:gridCol w:w="10632"/>
      </w:tblGrid>
      <w:tr w:rsidR="00664090" w:rsidRPr="002D622B" w:rsidTr="00585B59">
        <w:tc>
          <w:tcPr>
            <w:tcW w:w="10632" w:type="dxa"/>
            <w:tcBorders>
              <w:left w:val="single" w:sz="4" w:space="0" w:color="auto"/>
              <w:bottom w:val="single" w:sz="4" w:space="0" w:color="auto"/>
              <w:right w:val="single" w:sz="4" w:space="0" w:color="auto"/>
            </w:tcBorders>
            <w:shd w:val="clear" w:color="auto" w:fill="F7CAAC" w:themeFill="accent2" w:themeFillTint="66"/>
          </w:tcPr>
          <w:p w:rsidR="001F5C62" w:rsidRDefault="00CB46AB" w:rsidP="003A5C8A">
            <w:pPr>
              <w:contextualSpacing/>
              <w:jc w:val="both"/>
              <w:rPr>
                <w:rFonts w:ascii="Times New Roman" w:hAnsi="Times New Roman" w:cs="Times New Roman"/>
                <w:b/>
                <w:sz w:val="40"/>
                <w:szCs w:val="40"/>
              </w:rPr>
            </w:pPr>
            <w:r>
              <w:rPr>
                <w:rFonts w:ascii="Times New Roman" w:hAnsi="Times New Roman" w:cs="Times New Roman"/>
                <w:b/>
                <w:color w:val="FF0000"/>
                <w:sz w:val="40"/>
                <w:szCs w:val="40"/>
              </w:rPr>
              <w:t xml:space="preserve">! </w:t>
            </w:r>
            <w:r w:rsidR="00BD6D93" w:rsidRPr="003A5C8A">
              <w:rPr>
                <w:rFonts w:ascii="Times New Roman" w:hAnsi="Times New Roman" w:cs="Times New Roman"/>
                <w:b/>
                <w:sz w:val="24"/>
                <w:szCs w:val="24"/>
              </w:rPr>
              <w:t xml:space="preserve">Lūdzam uzmanīgi </w:t>
            </w:r>
            <w:r w:rsidR="001F5C62" w:rsidRPr="003A5C8A">
              <w:rPr>
                <w:rFonts w:ascii="Times New Roman" w:hAnsi="Times New Roman" w:cs="Times New Roman"/>
                <w:b/>
                <w:sz w:val="24"/>
                <w:szCs w:val="24"/>
              </w:rPr>
              <w:t xml:space="preserve">iepazīties ar </w:t>
            </w:r>
            <w:r w:rsidR="00BD6D93" w:rsidRPr="003A5C8A">
              <w:rPr>
                <w:rFonts w:ascii="Times New Roman" w:hAnsi="Times New Roman" w:cs="Times New Roman"/>
                <w:b/>
                <w:sz w:val="24"/>
                <w:szCs w:val="24"/>
              </w:rPr>
              <w:t xml:space="preserve">projektu iesniegumu atlases nolikumā norādītajiem </w:t>
            </w:r>
            <w:r w:rsidR="001F5C62" w:rsidRPr="003A5C8A">
              <w:rPr>
                <w:rFonts w:ascii="Times New Roman" w:hAnsi="Times New Roman" w:cs="Times New Roman"/>
                <w:b/>
                <w:sz w:val="24"/>
                <w:szCs w:val="24"/>
              </w:rPr>
              <w:t>obligā</w:t>
            </w:r>
            <w:r w:rsidR="00BD6D93" w:rsidRPr="003A5C8A">
              <w:rPr>
                <w:rFonts w:ascii="Times New Roman" w:hAnsi="Times New Roman" w:cs="Times New Roman"/>
                <w:b/>
                <w:sz w:val="24"/>
                <w:szCs w:val="24"/>
              </w:rPr>
              <w:t>ti pievienojamajiem pielikumiem</w:t>
            </w:r>
            <w:r w:rsidR="00585B59" w:rsidRPr="003A5C8A">
              <w:rPr>
                <w:rFonts w:ascii="Times New Roman" w:hAnsi="Times New Roman" w:cs="Times New Roman"/>
                <w:b/>
                <w:sz w:val="24"/>
                <w:szCs w:val="24"/>
              </w:rPr>
              <w:t xml:space="preserve">, t.i., projekta iesniegumam </w:t>
            </w:r>
            <w:r w:rsidR="00585B59" w:rsidRPr="003425AD">
              <w:rPr>
                <w:rFonts w:ascii="Times New Roman" w:hAnsi="Times New Roman" w:cs="Times New Roman"/>
                <w:b/>
                <w:color w:val="FF0000"/>
                <w:sz w:val="24"/>
                <w:szCs w:val="24"/>
                <w:u w:val="single"/>
              </w:rPr>
              <w:t>obligāti</w:t>
            </w:r>
            <w:r w:rsidR="00585B59" w:rsidRPr="003A5C8A">
              <w:rPr>
                <w:rFonts w:ascii="Times New Roman" w:hAnsi="Times New Roman" w:cs="Times New Roman"/>
                <w:b/>
                <w:sz w:val="24"/>
                <w:szCs w:val="24"/>
              </w:rPr>
              <w:t xml:space="preserve"> pievienojami</w:t>
            </w:r>
            <w:r w:rsidR="003A5C8A" w:rsidRPr="003A5C8A">
              <w:rPr>
                <w:rFonts w:ascii="Times New Roman" w:hAnsi="Times New Roman" w:cs="Times New Roman"/>
                <w:b/>
                <w:sz w:val="24"/>
                <w:szCs w:val="24"/>
              </w:rPr>
              <w:t xml:space="preserve"> projekta budžetā (projekta iesnieguma 3.pielikums) iekļauto izmaksu pamatojošie dokumenti (ja attiecināms), vai visu projekta budžetā iekļauto izmaksu aprēķina atšifrējums, kas pamato projekta budžetā iekļauto izmaksu apmēru, t.sk. projekta vadības un īstenošanas personāla atalgojuma aprēķins, kurā norādīta speciālista mēnešalga, amata saime, noslodze projektā, iesaistes projektā laika periods mēnešos</w:t>
            </w:r>
            <w:r w:rsidR="00BD6D93" w:rsidRPr="003A5C8A">
              <w:rPr>
                <w:rFonts w:ascii="Times New Roman" w:hAnsi="Times New Roman" w:cs="Times New Roman"/>
                <w:b/>
                <w:sz w:val="24"/>
                <w:szCs w:val="24"/>
              </w:rPr>
              <w:t>!</w:t>
            </w:r>
            <w:r w:rsidR="00BD6D93" w:rsidRPr="003A5C8A">
              <w:rPr>
                <w:rFonts w:ascii="Times New Roman" w:hAnsi="Times New Roman" w:cs="Times New Roman"/>
                <w:b/>
                <w:sz w:val="40"/>
                <w:szCs w:val="40"/>
              </w:rPr>
              <w:t xml:space="preserve"> </w:t>
            </w:r>
          </w:p>
          <w:p w:rsidR="00000548" w:rsidRPr="00000548" w:rsidRDefault="00000548" w:rsidP="00000548">
            <w:pPr>
              <w:jc w:val="both"/>
              <w:rPr>
                <w:rFonts w:ascii="Times New Roman" w:hAnsi="Times New Roman" w:cs="Times New Roman"/>
                <w:b/>
                <w:color w:val="FF0000"/>
                <w:sz w:val="24"/>
                <w:szCs w:val="24"/>
              </w:rPr>
            </w:pPr>
          </w:p>
          <w:p w:rsidR="00374965" w:rsidRDefault="00BD6D93" w:rsidP="00BD6D93">
            <w:pPr>
              <w:jc w:val="both"/>
              <w:rPr>
                <w:rFonts w:ascii="Times New Roman" w:hAnsi="Times New Roman" w:cs="Times New Roman"/>
                <w:sz w:val="24"/>
                <w:szCs w:val="24"/>
              </w:rPr>
            </w:pPr>
            <w:r w:rsidRPr="00000548">
              <w:rPr>
                <w:rFonts w:ascii="Times New Roman" w:hAnsi="Times New Roman" w:cs="Times New Roman"/>
                <w:b/>
                <w:color w:val="FF0000"/>
                <w:sz w:val="40"/>
                <w:szCs w:val="40"/>
              </w:rPr>
              <w:t>!</w:t>
            </w:r>
            <w:r w:rsidRPr="00000548">
              <w:rPr>
                <w:rFonts w:ascii="Times New Roman" w:hAnsi="Times New Roman" w:cs="Times New Roman"/>
                <w:b/>
                <w:color w:val="FF0000"/>
                <w:sz w:val="32"/>
                <w:szCs w:val="32"/>
              </w:rPr>
              <w:t xml:space="preserve">  </w:t>
            </w:r>
            <w:r w:rsidR="00912B9A" w:rsidRPr="00000548">
              <w:rPr>
                <w:rFonts w:ascii="Times New Roman" w:hAnsi="Times New Roman" w:cs="Times New Roman"/>
                <w:sz w:val="24"/>
                <w:szCs w:val="24"/>
              </w:rPr>
              <w:t xml:space="preserve">2018.gada 21.septembrī </w:t>
            </w:r>
            <w:r w:rsidR="00912B9A" w:rsidRPr="00D52684">
              <w:rPr>
                <w:rFonts w:ascii="Times New Roman" w:hAnsi="Times New Roman" w:cs="Times New Roman"/>
                <w:b/>
                <w:sz w:val="24"/>
                <w:szCs w:val="24"/>
              </w:rPr>
              <w:t xml:space="preserve">Finanšu ministrija kā </w:t>
            </w:r>
            <w:r w:rsidR="00D52684" w:rsidRPr="00D52684">
              <w:rPr>
                <w:rFonts w:ascii="Times New Roman" w:hAnsi="Times New Roman" w:cs="Times New Roman"/>
                <w:b/>
                <w:sz w:val="24"/>
                <w:szCs w:val="24"/>
              </w:rPr>
              <w:t>VI</w:t>
            </w:r>
            <w:r w:rsidR="00912B9A" w:rsidRPr="00000548">
              <w:rPr>
                <w:rFonts w:ascii="Times New Roman" w:hAnsi="Times New Roman" w:cs="Times New Roman"/>
                <w:b/>
                <w:sz w:val="24"/>
                <w:szCs w:val="24"/>
              </w:rPr>
              <w:t xml:space="preserve"> ir apstiprinājusi vienas vienības izmaksu metodiku</w:t>
            </w:r>
            <w:r w:rsidR="00912B9A" w:rsidRPr="00000548">
              <w:rPr>
                <w:rFonts w:ascii="Times New Roman" w:hAnsi="Times New Roman" w:cs="Times New Roman"/>
                <w:sz w:val="24"/>
                <w:szCs w:val="24"/>
              </w:rPr>
              <w:t xml:space="preserve"> “Vienas vienības izmaksu standarta likmes aprēķina un piemērošanas metodika 1 km izmaksām darbības programmas “Izaugsme un nodarbinātība” īstenošanai” nobraukta 1 km degvielas izmaksas vieglajam transportlīdzeklim un sabiedriskā transporta izmaksām</w:t>
            </w:r>
            <w:r w:rsidR="00C84D38" w:rsidRPr="00000548">
              <w:rPr>
                <w:rFonts w:ascii="Times New Roman" w:hAnsi="Times New Roman" w:cs="Times New Roman"/>
                <w:sz w:val="24"/>
                <w:szCs w:val="24"/>
              </w:rPr>
              <w:t>”.</w:t>
            </w:r>
            <w:r w:rsidR="00912B9A" w:rsidRPr="00000548">
              <w:rPr>
                <w:rFonts w:ascii="Times New Roman" w:hAnsi="Times New Roman" w:cs="Times New Roman"/>
                <w:sz w:val="24"/>
                <w:szCs w:val="24"/>
              </w:rPr>
              <w:t xml:space="preserve"> </w:t>
            </w:r>
            <w:r w:rsidR="00374965">
              <w:rPr>
                <w:rFonts w:ascii="Times New Roman" w:hAnsi="Times New Roman" w:cs="Times New Roman"/>
                <w:sz w:val="24"/>
                <w:szCs w:val="24"/>
              </w:rPr>
              <w:t>(</w:t>
            </w:r>
            <w:hyperlink r:id="rId5" w:history="1">
              <w:r w:rsidR="00374965" w:rsidRPr="00194070">
                <w:rPr>
                  <w:rStyle w:val="Hyperlink"/>
                  <w:rFonts w:ascii="Times New Roman" w:hAnsi="Times New Roman" w:cs="Times New Roman"/>
                  <w:sz w:val="24"/>
                  <w:szCs w:val="24"/>
                </w:rPr>
                <w:t>http://www.esfondi.lv/upload/00-vadlinijas/1km_izmaksu_metodika.pdf</w:t>
              </w:r>
            </w:hyperlink>
            <w:r w:rsidR="00374965">
              <w:rPr>
                <w:rFonts w:ascii="Times New Roman" w:hAnsi="Times New Roman" w:cs="Times New Roman"/>
                <w:sz w:val="24"/>
                <w:szCs w:val="24"/>
              </w:rPr>
              <w:t>).</w:t>
            </w:r>
          </w:p>
          <w:p w:rsidR="00BD6D93" w:rsidRDefault="00CB46AB" w:rsidP="00CB46AB">
            <w:pPr>
              <w:jc w:val="both"/>
              <w:rPr>
                <w:rFonts w:ascii="Times New Roman" w:hAnsi="Times New Roman" w:cs="Times New Roman"/>
                <w:sz w:val="24"/>
                <w:szCs w:val="24"/>
              </w:rPr>
            </w:pPr>
            <w:r w:rsidRPr="00000548">
              <w:rPr>
                <w:rFonts w:ascii="Times New Roman" w:hAnsi="Times New Roman" w:cs="Times New Roman"/>
                <w:sz w:val="24"/>
                <w:szCs w:val="24"/>
              </w:rPr>
              <w:t xml:space="preserve">Atbilstoši MK noteikumiem </w:t>
            </w:r>
            <w:r w:rsidRPr="00000548">
              <w:rPr>
                <w:rFonts w:ascii="Times New Roman" w:hAnsi="Times New Roman" w:cs="Times New Roman"/>
                <w:b/>
                <w:sz w:val="24"/>
                <w:szCs w:val="24"/>
              </w:rPr>
              <w:t>metodika piemērojama</w:t>
            </w:r>
            <w:r>
              <w:rPr>
                <w:rFonts w:ascii="Times New Roman" w:hAnsi="Times New Roman" w:cs="Times New Roman"/>
                <w:b/>
                <w:sz w:val="24"/>
                <w:szCs w:val="24"/>
              </w:rPr>
              <w:t xml:space="preserve"> AM 10.1.3., AM 11.1.1. un </w:t>
            </w:r>
            <w:r w:rsidRPr="00000548">
              <w:rPr>
                <w:rFonts w:ascii="Times New Roman" w:hAnsi="Times New Roman" w:cs="Times New Roman"/>
                <w:b/>
                <w:sz w:val="24"/>
                <w:szCs w:val="24"/>
              </w:rPr>
              <w:t>AM 12.1.1.</w:t>
            </w:r>
            <w:r>
              <w:t xml:space="preserve">, </w:t>
            </w:r>
            <w:r>
              <w:rPr>
                <w:rFonts w:ascii="Times New Roman" w:hAnsi="Times New Roman" w:cs="Times New Roman"/>
                <w:sz w:val="24"/>
                <w:szCs w:val="24"/>
              </w:rPr>
              <w:t>attiecībā uz degvielas izmaksām vieglajam transportam.</w:t>
            </w:r>
          </w:p>
          <w:p w:rsidR="00762EAB" w:rsidRPr="00CB46AB" w:rsidRDefault="00762EAB" w:rsidP="00CB46AB">
            <w:pPr>
              <w:jc w:val="both"/>
              <w:rPr>
                <w:rFonts w:ascii="Times New Roman" w:hAnsi="Times New Roman" w:cs="Times New Roman"/>
                <w:sz w:val="24"/>
                <w:szCs w:val="24"/>
              </w:rPr>
            </w:pPr>
          </w:p>
        </w:tc>
      </w:tr>
    </w:tbl>
    <w:p w:rsidR="008912E3" w:rsidRDefault="008912E3">
      <w:r>
        <w:br w:type="page"/>
      </w:r>
    </w:p>
    <w:tbl>
      <w:tblPr>
        <w:tblStyle w:val="TableGrid"/>
        <w:tblW w:w="10632" w:type="dxa"/>
        <w:tblInd w:w="-1139" w:type="dxa"/>
        <w:tblLook w:val="04A0" w:firstRow="1" w:lastRow="0" w:firstColumn="1" w:lastColumn="0" w:noHBand="0" w:noVBand="1"/>
      </w:tblPr>
      <w:tblGrid>
        <w:gridCol w:w="10632"/>
      </w:tblGrid>
      <w:tr w:rsidR="00664090" w:rsidRPr="002D622B" w:rsidTr="00C357CE">
        <w:tc>
          <w:tcPr>
            <w:tcW w:w="10632" w:type="dxa"/>
            <w:shd w:val="clear" w:color="auto" w:fill="D9D9D9" w:themeFill="background1" w:themeFillShade="D9"/>
          </w:tcPr>
          <w:p w:rsidR="00664090" w:rsidRPr="00C357CE" w:rsidRDefault="004A0DCA" w:rsidP="00C357CE">
            <w:pPr>
              <w:pStyle w:val="ListParagraph"/>
              <w:numPr>
                <w:ilvl w:val="0"/>
                <w:numId w:val="11"/>
              </w:numPr>
              <w:ind w:left="317"/>
              <w:rPr>
                <w:b/>
              </w:rPr>
            </w:pPr>
            <w:r w:rsidRPr="00C357CE">
              <w:rPr>
                <w:b/>
              </w:rPr>
              <w:lastRenderedPageBreak/>
              <w:t>jautājums:</w:t>
            </w:r>
            <w:r w:rsidRPr="008912E3">
              <w:t xml:space="preserve"> Vai</w:t>
            </w:r>
            <w:r w:rsidR="00664090" w:rsidRPr="008912E3">
              <w:t xml:space="preserve"> CFLA plāno arī kādu informatīvo semināru par i</w:t>
            </w:r>
            <w:r w:rsidRPr="008912E3">
              <w:t>esnieguma sagatavošanas procesu?</w:t>
            </w:r>
          </w:p>
        </w:tc>
      </w:tr>
      <w:tr w:rsidR="004A0DCA" w:rsidRPr="002D622B" w:rsidTr="00762EAB">
        <w:tc>
          <w:tcPr>
            <w:tcW w:w="10632" w:type="dxa"/>
            <w:tcBorders>
              <w:bottom w:val="single" w:sz="4" w:space="0" w:color="auto"/>
            </w:tcBorders>
            <w:shd w:val="clear" w:color="auto" w:fill="FFFFFF" w:themeFill="background1"/>
          </w:tcPr>
          <w:p w:rsidR="004A0DCA" w:rsidRDefault="00F00C53" w:rsidP="00F00C53">
            <w:pPr>
              <w:jc w:val="both"/>
              <w:rPr>
                <w:rFonts w:ascii="Times New Roman" w:hAnsi="Times New Roman"/>
                <w:sz w:val="24"/>
                <w:szCs w:val="24"/>
              </w:rPr>
            </w:pPr>
            <w:r w:rsidRPr="00F00C53">
              <w:rPr>
                <w:rFonts w:ascii="Times New Roman" w:hAnsi="Times New Roman"/>
                <w:b/>
                <w:sz w:val="24"/>
                <w:szCs w:val="24"/>
              </w:rPr>
              <w:t>Atbilde:</w:t>
            </w:r>
            <w:r>
              <w:rPr>
                <w:sz w:val="24"/>
                <w:szCs w:val="24"/>
              </w:rPr>
              <w:t xml:space="preserve"> </w:t>
            </w:r>
            <w:r>
              <w:rPr>
                <w:rFonts w:ascii="Times New Roman" w:hAnsi="Times New Roman"/>
                <w:sz w:val="24"/>
                <w:szCs w:val="24"/>
              </w:rPr>
              <w:t>Lai veiksmīgāk un kvalitatīvāk sagatavotu projekta iesniegumu, CFLA aicina par projekta iesnieguma sagatavošanu atbildīgos darbiniekus ierasties uz individuālajām konsultācijām, pirms tam vienojoties ar  CFLA atbildīgo darbinieku - Juridiskā nodrošinājuma un projektu atlases departamenta Infrastruktūras projektu atlases nodaļas vadošo eksperti Kristīni Šmiti (tālrunis 20391910, elektroniskā pasta adrese: </w:t>
            </w:r>
            <w:hyperlink r:id="rId6" w:history="1">
              <w:r>
                <w:rPr>
                  <w:rStyle w:val="Hyperlink"/>
                  <w:rFonts w:ascii="Times New Roman" w:hAnsi="Times New Roman"/>
                  <w:sz w:val="24"/>
                  <w:szCs w:val="24"/>
                </w:rPr>
                <w:t>Kristine.Smite@cfla.gov.lv</w:t>
              </w:r>
            </w:hyperlink>
            <w:r>
              <w:rPr>
                <w:rFonts w:ascii="Times New Roman" w:hAnsi="Times New Roman"/>
                <w:sz w:val="24"/>
                <w:szCs w:val="24"/>
              </w:rPr>
              <w:t>) vai vecāko eksperti Maiju Upenieci (tālrunis 27066927, elektroniskā pasta adrese: </w:t>
            </w:r>
            <w:hyperlink r:id="rId7" w:history="1">
              <w:r>
                <w:rPr>
                  <w:rStyle w:val="Hyperlink"/>
                  <w:rFonts w:ascii="Times New Roman" w:hAnsi="Times New Roman"/>
                  <w:sz w:val="24"/>
                  <w:szCs w:val="24"/>
                </w:rPr>
                <w:t>Maija.Upeniece@cfla.gov.lv</w:t>
              </w:r>
            </w:hyperlink>
            <w:r>
              <w:rPr>
                <w:rFonts w:ascii="Times New Roman" w:hAnsi="Times New Roman"/>
                <w:sz w:val="24"/>
                <w:szCs w:val="24"/>
              </w:rPr>
              <w:t xml:space="preserve"> ) par piemērotāko laiku.  </w:t>
            </w:r>
          </w:p>
          <w:p w:rsidR="00762EAB" w:rsidRPr="00F00C53" w:rsidRDefault="00762EAB" w:rsidP="00F00C53">
            <w:pPr>
              <w:jc w:val="both"/>
              <w:rPr>
                <w:rFonts w:ascii="Times New Roman" w:hAnsi="Times New Roman"/>
                <w:sz w:val="24"/>
                <w:szCs w:val="24"/>
              </w:rPr>
            </w:pPr>
          </w:p>
        </w:tc>
      </w:tr>
      <w:tr w:rsidR="00C357CE" w:rsidRPr="002D622B" w:rsidTr="00762EAB">
        <w:tc>
          <w:tcPr>
            <w:tcW w:w="10632" w:type="dxa"/>
            <w:tcBorders>
              <w:top w:val="single" w:sz="4" w:space="0" w:color="auto"/>
              <w:left w:val="nil"/>
              <w:bottom w:val="single" w:sz="4" w:space="0" w:color="auto"/>
              <w:right w:val="nil"/>
            </w:tcBorders>
            <w:shd w:val="clear" w:color="auto" w:fill="FFFFFF" w:themeFill="background1"/>
          </w:tcPr>
          <w:p w:rsidR="00C357CE" w:rsidRPr="00F00C53" w:rsidRDefault="00C357CE" w:rsidP="00F00C53">
            <w:pPr>
              <w:jc w:val="both"/>
              <w:rPr>
                <w:rFonts w:ascii="Times New Roman" w:hAnsi="Times New Roman"/>
                <w:b/>
                <w:sz w:val="24"/>
                <w:szCs w:val="24"/>
              </w:rPr>
            </w:pPr>
          </w:p>
        </w:tc>
      </w:tr>
      <w:tr w:rsidR="004A0DCA" w:rsidRPr="002D622B" w:rsidTr="00762EAB">
        <w:trPr>
          <w:trHeight w:val="409"/>
        </w:trPr>
        <w:tc>
          <w:tcPr>
            <w:tcW w:w="10632" w:type="dxa"/>
            <w:tcBorders>
              <w:top w:val="single" w:sz="4" w:space="0" w:color="auto"/>
            </w:tcBorders>
            <w:shd w:val="clear" w:color="auto" w:fill="D9D9D9" w:themeFill="background1" w:themeFillShade="D9"/>
          </w:tcPr>
          <w:p w:rsidR="004A0DCA" w:rsidRPr="004A0DCA" w:rsidRDefault="00F00C53" w:rsidP="00C357CE">
            <w:pPr>
              <w:pStyle w:val="ListParagraph"/>
              <w:numPr>
                <w:ilvl w:val="0"/>
                <w:numId w:val="11"/>
              </w:numPr>
              <w:ind w:left="317"/>
            </w:pPr>
            <w:r w:rsidRPr="00C357CE">
              <w:rPr>
                <w:b/>
              </w:rPr>
              <w:t>j</w:t>
            </w:r>
            <w:r w:rsidR="004A0DCA" w:rsidRPr="00C357CE">
              <w:rPr>
                <w:b/>
              </w:rPr>
              <w:t>autājums:</w:t>
            </w:r>
            <w:r w:rsidR="004A0DCA">
              <w:t xml:space="preserve"> Vai</w:t>
            </w:r>
            <w:r w:rsidR="004A0DCA" w:rsidRPr="004A0DCA">
              <w:t xml:space="preserve"> ir pieejama metodika iesnieguma aizpildīšanai?</w:t>
            </w:r>
          </w:p>
        </w:tc>
      </w:tr>
      <w:tr w:rsidR="00664090" w:rsidRPr="002D622B" w:rsidTr="00762EAB">
        <w:tc>
          <w:tcPr>
            <w:tcW w:w="10632" w:type="dxa"/>
            <w:tcBorders>
              <w:bottom w:val="single" w:sz="4" w:space="0" w:color="auto"/>
            </w:tcBorders>
            <w:shd w:val="clear" w:color="auto" w:fill="auto"/>
          </w:tcPr>
          <w:p w:rsidR="00664090" w:rsidRDefault="00F00C53" w:rsidP="00BA7E59">
            <w:pPr>
              <w:jc w:val="both"/>
              <w:rPr>
                <w:rFonts w:ascii="Times New Roman" w:hAnsi="Times New Roman"/>
                <w:sz w:val="24"/>
                <w:szCs w:val="24"/>
              </w:rPr>
            </w:pPr>
            <w:r w:rsidRPr="00F00C53">
              <w:rPr>
                <w:rFonts w:ascii="Times New Roman" w:hAnsi="Times New Roman"/>
                <w:b/>
                <w:sz w:val="24"/>
                <w:szCs w:val="24"/>
              </w:rPr>
              <w:t>Atbilde:</w:t>
            </w:r>
            <w:r>
              <w:rPr>
                <w:rFonts w:ascii="Times New Roman" w:hAnsi="Times New Roman"/>
                <w:sz w:val="24"/>
                <w:szCs w:val="24"/>
              </w:rPr>
              <w:t xml:space="preserve"> Informācija par katra atbalsta mērķa projektu iesniegumu atlases nosacījumiem, t.sk. projektu iesniegumu atlases nolikums un projektu iesniegumu veidlapas aizpildīšanas metodika, pieejama CFLA mājaslapā sadaļā </w:t>
            </w:r>
            <w:hyperlink r:id="rId8" w:tgtFrame="_blank" w:history="1">
              <w:r>
                <w:rPr>
                  <w:rStyle w:val="Hyperlink"/>
                  <w:rFonts w:ascii="Times New Roman" w:hAnsi="Times New Roman"/>
                  <w:sz w:val="24"/>
                  <w:szCs w:val="24"/>
                </w:rPr>
                <w:t>Izsludinātās atlases</w:t>
              </w:r>
            </w:hyperlink>
            <w:r>
              <w:rPr>
                <w:rFonts w:ascii="Times New Roman" w:hAnsi="Times New Roman"/>
                <w:sz w:val="24"/>
                <w:szCs w:val="24"/>
              </w:rPr>
              <w:t>. </w:t>
            </w:r>
          </w:p>
          <w:p w:rsidR="00762EAB" w:rsidRPr="002D622B" w:rsidRDefault="00762EAB" w:rsidP="00BA7E59">
            <w:pPr>
              <w:jc w:val="both"/>
              <w:rPr>
                <w:rFonts w:ascii="Times New Roman" w:hAnsi="Times New Roman" w:cs="Times New Roman"/>
                <w:b/>
                <w:sz w:val="24"/>
                <w:szCs w:val="24"/>
              </w:rPr>
            </w:pPr>
          </w:p>
        </w:tc>
      </w:tr>
      <w:tr w:rsidR="00C357CE" w:rsidRPr="002D622B" w:rsidTr="00762EAB">
        <w:tc>
          <w:tcPr>
            <w:tcW w:w="10632" w:type="dxa"/>
            <w:tcBorders>
              <w:top w:val="single" w:sz="4" w:space="0" w:color="auto"/>
              <w:left w:val="nil"/>
              <w:bottom w:val="single" w:sz="4" w:space="0" w:color="auto"/>
              <w:right w:val="nil"/>
            </w:tcBorders>
            <w:shd w:val="clear" w:color="auto" w:fill="auto"/>
          </w:tcPr>
          <w:p w:rsidR="00C357CE" w:rsidRPr="00F00C53" w:rsidRDefault="00C357CE" w:rsidP="00BA7E59">
            <w:pPr>
              <w:jc w:val="both"/>
              <w:rPr>
                <w:rFonts w:ascii="Times New Roman" w:hAnsi="Times New Roman"/>
                <w:b/>
                <w:sz w:val="24"/>
                <w:szCs w:val="24"/>
              </w:rPr>
            </w:pPr>
          </w:p>
        </w:tc>
      </w:tr>
      <w:tr w:rsidR="00664090" w:rsidRPr="002D622B" w:rsidTr="00762EAB">
        <w:trPr>
          <w:trHeight w:val="699"/>
        </w:trPr>
        <w:tc>
          <w:tcPr>
            <w:tcW w:w="10632" w:type="dxa"/>
            <w:tcBorders>
              <w:top w:val="single" w:sz="4" w:space="0" w:color="auto"/>
            </w:tcBorders>
            <w:shd w:val="clear" w:color="auto" w:fill="D9D9D9" w:themeFill="background1" w:themeFillShade="D9"/>
          </w:tcPr>
          <w:p w:rsidR="00664090" w:rsidRPr="00F00C53" w:rsidRDefault="00F00C53" w:rsidP="00C357CE">
            <w:pPr>
              <w:pStyle w:val="ListParagraph"/>
              <w:numPr>
                <w:ilvl w:val="0"/>
                <w:numId w:val="11"/>
              </w:numPr>
              <w:ind w:left="317"/>
            </w:pPr>
            <w:r w:rsidRPr="00C357CE">
              <w:rPr>
                <w:b/>
              </w:rPr>
              <w:t>Jautājums:</w:t>
            </w:r>
            <w:r>
              <w:t xml:space="preserve"> </w:t>
            </w:r>
            <w:r w:rsidR="00664090">
              <w:t>Kādai jābūt pamatojuma detalizācijas pakāpei</w:t>
            </w:r>
            <w:r>
              <w:t xml:space="preserve"> projekta iesnieguma 3.pielikumā “Projekta budžeta kopsavilkums</w:t>
            </w:r>
            <w:r w:rsidR="00083C84">
              <w:t>”</w:t>
            </w:r>
            <w:r w:rsidR="00C357CE">
              <w:t>?</w:t>
            </w:r>
          </w:p>
        </w:tc>
      </w:tr>
      <w:tr w:rsidR="00F00C53" w:rsidRPr="00F00C53" w:rsidTr="00762EAB">
        <w:tc>
          <w:tcPr>
            <w:tcW w:w="10632" w:type="dxa"/>
            <w:tcBorders>
              <w:bottom w:val="single" w:sz="4" w:space="0" w:color="auto"/>
            </w:tcBorders>
            <w:shd w:val="clear" w:color="auto" w:fill="auto"/>
          </w:tcPr>
          <w:p w:rsidR="00664090" w:rsidRPr="00F00C53" w:rsidRDefault="007D4739" w:rsidP="009C6A07">
            <w:pPr>
              <w:jc w:val="both"/>
              <w:rPr>
                <w:rFonts w:ascii="Times New Roman" w:hAnsi="Times New Roman"/>
                <w:sz w:val="24"/>
                <w:szCs w:val="24"/>
              </w:rPr>
            </w:pPr>
            <w:r w:rsidRPr="007D4739">
              <w:rPr>
                <w:rFonts w:ascii="Times New Roman" w:hAnsi="Times New Roman"/>
                <w:b/>
                <w:sz w:val="24"/>
                <w:szCs w:val="24"/>
              </w:rPr>
              <w:t>Atbilde:</w:t>
            </w:r>
            <w:r>
              <w:rPr>
                <w:rFonts w:ascii="Times New Roman" w:hAnsi="Times New Roman"/>
                <w:sz w:val="24"/>
                <w:szCs w:val="24"/>
              </w:rPr>
              <w:t xml:space="preserve"> </w:t>
            </w:r>
            <w:r w:rsidR="00664090" w:rsidRPr="00F00C53">
              <w:rPr>
                <w:rFonts w:ascii="Times New Roman" w:hAnsi="Times New Roman"/>
                <w:sz w:val="24"/>
                <w:szCs w:val="24"/>
              </w:rPr>
              <w:t>Iesniedzot projekta iesniegumu projekta iesniegumam jāpievieno visu izmaksu pamatojošie dokumenti vai izmaksu apjoma aprēķina atšifrējums. Aprēķinam jābūt tādā detalizācijas pakāpē, lai būtu iespējams izsekot kā veidojies projekta budžetā iekļautais izmaksu apmērs.</w:t>
            </w:r>
          </w:p>
          <w:p w:rsidR="00664090" w:rsidRDefault="00664090" w:rsidP="009C6A07">
            <w:pPr>
              <w:jc w:val="both"/>
              <w:rPr>
                <w:rFonts w:ascii="Times New Roman" w:hAnsi="Times New Roman"/>
                <w:sz w:val="24"/>
                <w:szCs w:val="24"/>
              </w:rPr>
            </w:pPr>
            <w:r w:rsidRPr="00F00C53">
              <w:rPr>
                <w:rFonts w:ascii="Times New Roman" w:hAnsi="Times New Roman"/>
                <w:sz w:val="24"/>
                <w:szCs w:val="24"/>
              </w:rPr>
              <w:t>Saistībā ar personāla izmaksām nepieciešams norādīt arī speciālista mēnešalgu, amata saimi, noslodzi projektā, iesaistes projektā laika periodu. Amata saimi un mēnešalgu nepieciešams norādīt lai gūtu arī pārliecību, ka speciālistu atalgojums atbilst Finanšu ministrijas vadlīnijām “Vadlīnijas attiecināmo un neattiecināmo izmaksu noteikšanai 2014.-2020.gada plānošanas periodā”.</w:t>
            </w:r>
          </w:p>
          <w:p w:rsidR="00762EAB" w:rsidRPr="00083C84" w:rsidRDefault="00762EAB" w:rsidP="009C6A07">
            <w:pPr>
              <w:jc w:val="both"/>
              <w:rPr>
                <w:rFonts w:ascii="Times New Roman" w:hAnsi="Times New Roman"/>
                <w:sz w:val="24"/>
                <w:szCs w:val="24"/>
              </w:rPr>
            </w:pPr>
          </w:p>
        </w:tc>
      </w:tr>
      <w:tr w:rsidR="00C357CE" w:rsidRPr="00F00C53" w:rsidTr="00762EAB">
        <w:tc>
          <w:tcPr>
            <w:tcW w:w="10632" w:type="dxa"/>
            <w:tcBorders>
              <w:top w:val="single" w:sz="4" w:space="0" w:color="auto"/>
              <w:left w:val="nil"/>
              <w:bottom w:val="single" w:sz="4" w:space="0" w:color="auto"/>
              <w:right w:val="nil"/>
            </w:tcBorders>
            <w:shd w:val="clear" w:color="auto" w:fill="auto"/>
          </w:tcPr>
          <w:p w:rsidR="00C357CE" w:rsidRPr="007D4739" w:rsidRDefault="00C357CE" w:rsidP="009C6A07">
            <w:pPr>
              <w:jc w:val="both"/>
              <w:rPr>
                <w:rFonts w:ascii="Times New Roman" w:hAnsi="Times New Roman"/>
                <w:b/>
                <w:sz w:val="24"/>
                <w:szCs w:val="24"/>
              </w:rPr>
            </w:pPr>
          </w:p>
        </w:tc>
      </w:tr>
      <w:tr w:rsidR="00C357CE" w:rsidRPr="00290F94" w:rsidTr="00762EAB">
        <w:tc>
          <w:tcPr>
            <w:tcW w:w="10632" w:type="dxa"/>
            <w:tcBorders>
              <w:top w:val="single" w:sz="4" w:space="0" w:color="auto"/>
            </w:tcBorders>
            <w:shd w:val="clear" w:color="auto" w:fill="D9D9D9" w:themeFill="background1" w:themeFillShade="D9"/>
          </w:tcPr>
          <w:p w:rsidR="00C357CE" w:rsidRPr="00C357CE" w:rsidRDefault="00C357CE" w:rsidP="00C357CE">
            <w:pPr>
              <w:pStyle w:val="ListParagraph"/>
              <w:numPr>
                <w:ilvl w:val="0"/>
                <w:numId w:val="11"/>
              </w:numPr>
              <w:ind w:left="317"/>
              <w:jc w:val="both"/>
              <w:rPr>
                <w:b/>
              </w:rPr>
            </w:pPr>
            <w:r w:rsidRPr="00C357CE">
              <w:rPr>
                <w:b/>
              </w:rPr>
              <w:t xml:space="preserve">Jautājums: </w:t>
            </w:r>
            <w:r w:rsidRPr="00290F94">
              <w:t xml:space="preserve">Vai varam plānot materiāltehniskos līdzekļus projekta vadības un projekta īstenošanas personālam atbilstoši </w:t>
            </w:r>
            <w:r>
              <w:t>slodžu sadalījumam projektā – 0,3 projekta vadība un 0,</w:t>
            </w:r>
            <w:r w:rsidRPr="00290F94">
              <w:t>7 projekta īstenošana?</w:t>
            </w:r>
            <w:r w:rsidRPr="00C357CE">
              <w:rPr>
                <w:b/>
              </w:rPr>
              <w:t xml:space="preserve">  </w:t>
            </w:r>
          </w:p>
        </w:tc>
      </w:tr>
      <w:tr w:rsidR="00C357CE" w:rsidRPr="00290F94" w:rsidTr="00762EAB">
        <w:tc>
          <w:tcPr>
            <w:tcW w:w="10632" w:type="dxa"/>
            <w:tcBorders>
              <w:bottom w:val="single" w:sz="4" w:space="0" w:color="auto"/>
            </w:tcBorders>
            <w:shd w:val="clear" w:color="auto" w:fill="auto"/>
          </w:tcPr>
          <w:p w:rsidR="00C02B19" w:rsidRDefault="00C357CE" w:rsidP="00C02B19">
            <w:pPr>
              <w:jc w:val="both"/>
              <w:rPr>
                <w:rFonts w:ascii="Times New Roman" w:hAnsi="Times New Roman"/>
                <w:sz w:val="24"/>
                <w:szCs w:val="24"/>
              </w:rPr>
            </w:pPr>
            <w:r w:rsidRPr="007D4739">
              <w:rPr>
                <w:rFonts w:ascii="Times New Roman" w:hAnsi="Times New Roman"/>
                <w:b/>
                <w:sz w:val="24"/>
                <w:szCs w:val="24"/>
              </w:rPr>
              <w:t>Atbilde</w:t>
            </w:r>
            <w:r w:rsidR="00A13B65">
              <w:rPr>
                <w:rFonts w:ascii="Times New Roman" w:hAnsi="Times New Roman"/>
                <w:b/>
                <w:sz w:val="24"/>
                <w:szCs w:val="24"/>
              </w:rPr>
              <w:t xml:space="preserve"> </w:t>
            </w:r>
            <w:r w:rsidR="00A13B65" w:rsidRPr="00A13B65">
              <w:rPr>
                <w:rFonts w:ascii="Times New Roman" w:hAnsi="Times New Roman"/>
                <w:i/>
                <w:color w:val="FF0000"/>
                <w:sz w:val="24"/>
                <w:szCs w:val="24"/>
              </w:rPr>
              <w:t>(papildināta 1</w:t>
            </w:r>
            <w:r w:rsidR="008F710B">
              <w:rPr>
                <w:rFonts w:ascii="Times New Roman" w:hAnsi="Times New Roman"/>
                <w:i/>
                <w:color w:val="FF0000"/>
                <w:sz w:val="24"/>
                <w:szCs w:val="24"/>
              </w:rPr>
              <w:t>1</w:t>
            </w:r>
            <w:r w:rsidR="00A13B65" w:rsidRPr="00A13B65">
              <w:rPr>
                <w:rFonts w:ascii="Times New Roman" w:hAnsi="Times New Roman"/>
                <w:i/>
                <w:color w:val="FF0000"/>
                <w:sz w:val="24"/>
                <w:szCs w:val="24"/>
              </w:rPr>
              <w:t>.10.2018.)</w:t>
            </w:r>
            <w:r w:rsidRPr="007D4739">
              <w:rPr>
                <w:rFonts w:ascii="Times New Roman" w:hAnsi="Times New Roman"/>
                <w:b/>
                <w:sz w:val="24"/>
                <w:szCs w:val="24"/>
              </w:rPr>
              <w:t>:</w:t>
            </w:r>
            <w:r>
              <w:rPr>
                <w:rFonts w:ascii="Times New Roman" w:hAnsi="Times New Roman"/>
                <w:sz w:val="24"/>
                <w:szCs w:val="24"/>
              </w:rPr>
              <w:t xml:space="preserve"> </w:t>
            </w:r>
            <w:r w:rsidR="00C02B19" w:rsidRPr="00290F94">
              <w:rPr>
                <w:rFonts w:ascii="Times New Roman" w:hAnsi="Times New Roman"/>
                <w:sz w:val="24"/>
                <w:szCs w:val="24"/>
              </w:rPr>
              <w:t xml:space="preserve">Atbilstoši MK </w:t>
            </w:r>
            <w:r w:rsidR="00C02B19">
              <w:rPr>
                <w:rFonts w:ascii="Times New Roman" w:hAnsi="Times New Roman"/>
                <w:sz w:val="24"/>
                <w:szCs w:val="24"/>
              </w:rPr>
              <w:t xml:space="preserve">noteikumiem nevienam no tajos minētajiem </w:t>
            </w:r>
            <w:r w:rsidR="00C02B19" w:rsidRPr="00290F94">
              <w:rPr>
                <w:rFonts w:ascii="Times New Roman" w:hAnsi="Times New Roman"/>
                <w:sz w:val="24"/>
                <w:szCs w:val="24"/>
              </w:rPr>
              <w:t>AM nav attiecināmas a</w:t>
            </w:r>
            <w:r w:rsidR="00C02B19">
              <w:rPr>
                <w:rFonts w:ascii="Times New Roman" w:hAnsi="Times New Roman"/>
                <w:sz w:val="24"/>
                <w:szCs w:val="24"/>
              </w:rPr>
              <w:t xml:space="preserve">prīkojuma </w:t>
            </w:r>
            <w:r w:rsidR="00C02B19" w:rsidRPr="00290F94">
              <w:rPr>
                <w:rFonts w:ascii="Times New Roman" w:hAnsi="Times New Roman"/>
                <w:sz w:val="24"/>
                <w:szCs w:val="24"/>
              </w:rPr>
              <w:t>izmaksas projekta vadības personālam.</w:t>
            </w:r>
          </w:p>
          <w:p w:rsidR="00C357CE" w:rsidRDefault="00F15E00" w:rsidP="00737EF3">
            <w:pPr>
              <w:jc w:val="both"/>
              <w:rPr>
                <w:rFonts w:ascii="Times New Roman" w:hAnsi="Times New Roman"/>
                <w:sz w:val="24"/>
                <w:szCs w:val="24"/>
              </w:rPr>
            </w:pPr>
            <w:r>
              <w:rPr>
                <w:rFonts w:ascii="Times New Roman" w:hAnsi="Times New Roman"/>
                <w:sz w:val="24"/>
                <w:szCs w:val="24"/>
              </w:rPr>
              <w:t xml:space="preserve">Var plānot materiāltehniskos līdzekļus </w:t>
            </w:r>
            <w:r w:rsidRPr="00CD1BFE">
              <w:rPr>
                <w:rFonts w:ascii="Times New Roman" w:hAnsi="Times New Roman"/>
                <w:sz w:val="24"/>
                <w:szCs w:val="24"/>
              </w:rPr>
              <w:t xml:space="preserve">projekta </w:t>
            </w:r>
            <w:r w:rsidRPr="00CD1BFE">
              <w:rPr>
                <w:rFonts w:ascii="Times New Roman" w:hAnsi="Times New Roman"/>
                <w:sz w:val="24"/>
                <w:szCs w:val="24"/>
                <w:u w:val="single"/>
              </w:rPr>
              <w:t>īstenošanas personālam</w:t>
            </w:r>
            <w:r w:rsidRPr="00CD1BFE">
              <w:rPr>
                <w:rFonts w:ascii="Times New Roman" w:hAnsi="Times New Roman"/>
                <w:sz w:val="24"/>
                <w:szCs w:val="24"/>
              </w:rPr>
              <w:t xml:space="preserve"> atbilstoši slodžu sadalījumam projektā, taču jāņem vērā, ka 3000 </w:t>
            </w:r>
            <w:r w:rsidRPr="00CD1BFE">
              <w:rPr>
                <w:rFonts w:ascii="Times New Roman" w:hAnsi="Times New Roman"/>
                <w:i/>
                <w:iCs/>
                <w:sz w:val="24"/>
                <w:szCs w:val="24"/>
              </w:rPr>
              <w:t>euro</w:t>
            </w:r>
            <w:r w:rsidRPr="00CD1BFE">
              <w:rPr>
                <w:rFonts w:ascii="Times New Roman" w:hAnsi="Times New Roman"/>
                <w:sz w:val="24"/>
                <w:szCs w:val="24"/>
              </w:rPr>
              <w:t xml:space="preserve"> ierobežojums ir uz pilnu slodzi, līdz ar to plānojot materiāltehnisko līdzekļu iegādi jāņem vērā Finanšu ministrijas 2017.gada 11.jūlija vadlīniju Nr.2.1. “Vadlīnijas attiecināmo un neattiecināmo izmaksu noteikšanai 2014.-2020.gada plānošanas periodā” 17.5. un 17.6.apakšpunkta zemsvītras atsaucē noteikto, ka darba vietas aprīkojuma izmaksas var rēķināt, vai nu proporcionāli attiecinot katra rēķina summu līdz konkrētam limitam, vai attiecinot visus rēķinus līdz attiecīgajam limitam. TP projektos projektu īstenošanas laikā tiek pielietots otrais variants, t.i., iegādājās materiāltehniskos līdzekļus pilnā apmērā līdz tiek sasniegts attiecīgais limits</w:t>
            </w:r>
            <w:r w:rsidR="00C357CE" w:rsidRPr="00CD1BFE">
              <w:rPr>
                <w:rFonts w:ascii="Times New Roman" w:hAnsi="Times New Roman"/>
                <w:sz w:val="24"/>
                <w:szCs w:val="24"/>
              </w:rPr>
              <w:t xml:space="preserve">. </w:t>
            </w:r>
          </w:p>
          <w:p w:rsidR="00762EAB" w:rsidRPr="00290F94" w:rsidRDefault="00762EAB" w:rsidP="00C02B19">
            <w:pPr>
              <w:jc w:val="both"/>
              <w:rPr>
                <w:rFonts w:ascii="Times New Roman" w:hAnsi="Times New Roman"/>
                <w:b/>
                <w:sz w:val="24"/>
                <w:szCs w:val="24"/>
              </w:rPr>
            </w:pPr>
          </w:p>
        </w:tc>
      </w:tr>
      <w:tr w:rsidR="00C357CE" w:rsidRPr="00290F94" w:rsidTr="00762EAB">
        <w:tc>
          <w:tcPr>
            <w:tcW w:w="10632" w:type="dxa"/>
            <w:tcBorders>
              <w:top w:val="single" w:sz="4" w:space="0" w:color="auto"/>
              <w:left w:val="nil"/>
              <w:bottom w:val="single" w:sz="4" w:space="0" w:color="auto"/>
              <w:right w:val="nil"/>
            </w:tcBorders>
            <w:shd w:val="clear" w:color="auto" w:fill="auto"/>
          </w:tcPr>
          <w:p w:rsidR="00C357CE" w:rsidRPr="007D4739" w:rsidRDefault="00C357CE" w:rsidP="00737EF3">
            <w:pPr>
              <w:jc w:val="both"/>
              <w:rPr>
                <w:rFonts w:ascii="Times New Roman" w:hAnsi="Times New Roman"/>
                <w:b/>
                <w:sz w:val="24"/>
                <w:szCs w:val="24"/>
              </w:rPr>
            </w:pPr>
          </w:p>
        </w:tc>
      </w:tr>
      <w:tr w:rsidR="00083C84" w:rsidRPr="00F00C53" w:rsidTr="00762EAB">
        <w:tc>
          <w:tcPr>
            <w:tcW w:w="10632" w:type="dxa"/>
            <w:tcBorders>
              <w:top w:val="single" w:sz="4" w:space="0" w:color="auto"/>
              <w:bottom w:val="single" w:sz="4" w:space="0" w:color="auto"/>
            </w:tcBorders>
            <w:shd w:val="clear" w:color="auto" w:fill="D9D9D9" w:themeFill="background1" w:themeFillShade="D9"/>
          </w:tcPr>
          <w:p w:rsidR="00083C84" w:rsidRPr="00C357CE" w:rsidRDefault="00083C84" w:rsidP="00C357CE">
            <w:pPr>
              <w:pStyle w:val="ListParagraph"/>
              <w:numPr>
                <w:ilvl w:val="0"/>
                <w:numId w:val="11"/>
              </w:numPr>
              <w:ind w:left="317"/>
              <w:jc w:val="both"/>
              <w:rPr>
                <w:b/>
              </w:rPr>
            </w:pPr>
            <w:r w:rsidRPr="00C357CE">
              <w:rPr>
                <w:b/>
              </w:rPr>
              <w:t xml:space="preserve">Jautājums: </w:t>
            </w:r>
            <w:r>
              <w:t xml:space="preserve">Vai projekta iesniegumam pievienotais izmaksu pamatojums būs vienošanās </w:t>
            </w:r>
            <w:r w:rsidR="00BD7E6B">
              <w:t>par projekta īstenošanu</w:t>
            </w:r>
            <w:r w:rsidR="00B539B2">
              <w:t xml:space="preserve"> </w:t>
            </w:r>
            <w:r>
              <w:t>sastāvdaļa un vai tas būs jāprecizē pie projekta grozījumiem?</w:t>
            </w:r>
          </w:p>
        </w:tc>
      </w:tr>
      <w:tr w:rsidR="00083C84" w:rsidRPr="00083C84" w:rsidTr="00762EAB">
        <w:tc>
          <w:tcPr>
            <w:tcW w:w="10632" w:type="dxa"/>
            <w:tcBorders>
              <w:bottom w:val="single" w:sz="4" w:space="0" w:color="auto"/>
            </w:tcBorders>
            <w:shd w:val="clear" w:color="auto" w:fill="auto"/>
          </w:tcPr>
          <w:p w:rsidR="00083C84" w:rsidRDefault="00083C84" w:rsidP="00083C84">
            <w:pPr>
              <w:jc w:val="both"/>
              <w:rPr>
                <w:rFonts w:ascii="Times New Roman" w:hAnsi="Times New Roman" w:cs="Times New Roman"/>
                <w:sz w:val="24"/>
                <w:szCs w:val="24"/>
              </w:rPr>
            </w:pPr>
            <w:r w:rsidRPr="00083C84">
              <w:rPr>
                <w:rFonts w:ascii="Times New Roman" w:hAnsi="Times New Roman" w:cs="Times New Roman"/>
                <w:b/>
                <w:sz w:val="24"/>
                <w:szCs w:val="24"/>
              </w:rPr>
              <w:t xml:space="preserve">Atbilde: </w:t>
            </w:r>
            <w:r w:rsidRPr="00083C84">
              <w:rPr>
                <w:rFonts w:ascii="Times New Roman" w:hAnsi="Times New Roman" w:cs="Times New Roman"/>
                <w:sz w:val="24"/>
                <w:szCs w:val="24"/>
              </w:rPr>
              <w:t>Izmaksu pamatojums nebūs obligāta vienošanās</w:t>
            </w:r>
            <w:r w:rsidR="00BA7E59">
              <w:rPr>
                <w:rFonts w:ascii="Times New Roman" w:hAnsi="Times New Roman" w:cs="Times New Roman"/>
                <w:sz w:val="24"/>
                <w:szCs w:val="24"/>
              </w:rPr>
              <w:t xml:space="preserve"> par projekta īstenošanu</w:t>
            </w:r>
            <w:r w:rsidRPr="00083C84">
              <w:rPr>
                <w:rFonts w:ascii="Times New Roman" w:hAnsi="Times New Roman" w:cs="Times New Roman"/>
                <w:sz w:val="24"/>
                <w:szCs w:val="24"/>
              </w:rPr>
              <w:t xml:space="preserve"> sastāvdaļa un pēc vienošanās </w:t>
            </w:r>
            <w:r w:rsidR="00BD7E6B">
              <w:rPr>
                <w:rFonts w:ascii="Times New Roman" w:hAnsi="Times New Roman" w:cs="Times New Roman"/>
                <w:sz w:val="24"/>
                <w:szCs w:val="24"/>
              </w:rPr>
              <w:t xml:space="preserve">par projekta īstenošanu </w:t>
            </w:r>
            <w:r w:rsidRPr="00083C84">
              <w:rPr>
                <w:rFonts w:ascii="Times New Roman" w:hAnsi="Times New Roman" w:cs="Times New Roman"/>
                <w:sz w:val="24"/>
                <w:szCs w:val="24"/>
              </w:rPr>
              <w:t>noslēgšanas tas nebūs jāgroza un jāprecizē pēc aktuālās situācijas ar vienošanās grozījumiem.</w:t>
            </w:r>
          </w:p>
          <w:p w:rsidR="00762EAB" w:rsidRPr="00083C84" w:rsidRDefault="00762EAB" w:rsidP="00083C84">
            <w:pPr>
              <w:jc w:val="both"/>
              <w:rPr>
                <w:rFonts w:ascii="Times New Roman" w:hAnsi="Times New Roman" w:cs="Times New Roman"/>
                <w:b/>
                <w:sz w:val="24"/>
                <w:szCs w:val="24"/>
              </w:rPr>
            </w:pPr>
          </w:p>
        </w:tc>
      </w:tr>
    </w:tbl>
    <w:p w:rsidR="00CD1BFE" w:rsidRDefault="00CD1BFE">
      <w:r>
        <w:br w:type="page"/>
      </w:r>
    </w:p>
    <w:tbl>
      <w:tblPr>
        <w:tblStyle w:val="TableGrid"/>
        <w:tblW w:w="10632" w:type="dxa"/>
        <w:tblInd w:w="-1139" w:type="dxa"/>
        <w:tblLook w:val="04A0" w:firstRow="1" w:lastRow="0" w:firstColumn="1" w:lastColumn="0" w:noHBand="0" w:noVBand="1"/>
      </w:tblPr>
      <w:tblGrid>
        <w:gridCol w:w="10632"/>
      </w:tblGrid>
      <w:tr w:rsidR="00664090" w:rsidRPr="002D622B" w:rsidTr="00CD1BFE">
        <w:tc>
          <w:tcPr>
            <w:tcW w:w="10632" w:type="dxa"/>
            <w:tcBorders>
              <w:top w:val="single" w:sz="4" w:space="0" w:color="auto"/>
            </w:tcBorders>
            <w:shd w:val="clear" w:color="auto" w:fill="D9D9D9" w:themeFill="background1" w:themeFillShade="D9"/>
          </w:tcPr>
          <w:p w:rsidR="00664090" w:rsidRPr="00C357CE" w:rsidRDefault="00537A72" w:rsidP="00C357CE">
            <w:pPr>
              <w:pStyle w:val="ListParagraph"/>
              <w:numPr>
                <w:ilvl w:val="0"/>
                <w:numId w:val="11"/>
              </w:numPr>
              <w:ind w:left="317"/>
              <w:jc w:val="both"/>
              <w:rPr>
                <w:b/>
              </w:rPr>
            </w:pPr>
            <w:r w:rsidRPr="00C357CE">
              <w:rPr>
                <w:b/>
              </w:rPr>
              <w:lastRenderedPageBreak/>
              <w:t xml:space="preserve">Jautājums: </w:t>
            </w:r>
            <w:r w:rsidR="00625709" w:rsidRPr="00537A72">
              <w:t xml:space="preserve">Kā pareizi norādīt projektā sasniedzamos rādītājus, ja rādītāja mērvienība ir “pilna laika slodze”, </w:t>
            </w:r>
            <w:r w:rsidR="003F641E">
              <w:t>lai</w:t>
            </w:r>
            <w:r w:rsidR="00625709" w:rsidRPr="00537A72">
              <w:t xml:space="preserve"> plānotās projekt</w:t>
            </w:r>
            <w:r>
              <w:t>a</w:t>
            </w:r>
            <w:r w:rsidR="00625709" w:rsidRPr="00537A72">
              <w:t xml:space="preserve"> vadības un īstenošanas personāla izmaksas </w:t>
            </w:r>
            <w:r>
              <w:t>būtu</w:t>
            </w:r>
            <w:r w:rsidR="00625709" w:rsidRPr="00537A72">
              <w:t> attiecināmas un nebū</w:t>
            </w:r>
            <w:r>
              <w:t>tu</w:t>
            </w:r>
            <w:r w:rsidR="00BA7E59">
              <w:t xml:space="preserve"> pretrunā ar </w:t>
            </w:r>
            <w:r w:rsidR="00625709" w:rsidRPr="00537A72">
              <w:t>AM ietvaros sasniedzamo mērķi?</w:t>
            </w:r>
            <w:r w:rsidR="00625709" w:rsidRPr="00C357CE">
              <w:rPr>
                <w:b/>
              </w:rPr>
              <w:t xml:space="preserve"> </w:t>
            </w:r>
          </w:p>
        </w:tc>
      </w:tr>
      <w:tr w:rsidR="00912B9A" w:rsidRPr="002D622B" w:rsidTr="00CD1BFE">
        <w:tc>
          <w:tcPr>
            <w:tcW w:w="10632" w:type="dxa"/>
            <w:tcBorders>
              <w:bottom w:val="single" w:sz="4" w:space="0" w:color="auto"/>
            </w:tcBorders>
            <w:shd w:val="clear" w:color="auto" w:fill="auto"/>
          </w:tcPr>
          <w:p w:rsidR="00625709" w:rsidRPr="00537A72" w:rsidRDefault="007D4739" w:rsidP="009C6A07">
            <w:pPr>
              <w:jc w:val="both"/>
              <w:rPr>
                <w:rFonts w:ascii="Times New Roman" w:hAnsi="Times New Roman"/>
                <w:sz w:val="24"/>
                <w:szCs w:val="24"/>
              </w:rPr>
            </w:pPr>
            <w:r w:rsidRPr="007D4739">
              <w:rPr>
                <w:rFonts w:ascii="Times New Roman" w:hAnsi="Times New Roman"/>
                <w:b/>
                <w:sz w:val="24"/>
                <w:szCs w:val="24"/>
              </w:rPr>
              <w:t>Atbilde:</w:t>
            </w:r>
            <w:r>
              <w:rPr>
                <w:rFonts w:ascii="Times New Roman" w:hAnsi="Times New Roman"/>
                <w:sz w:val="24"/>
                <w:szCs w:val="24"/>
              </w:rPr>
              <w:t xml:space="preserve"> </w:t>
            </w:r>
            <w:r w:rsidR="00912B9A" w:rsidRPr="00537A72">
              <w:rPr>
                <w:rFonts w:ascii="Times New Roman" w:hAnsi="Times New Roman"/>
                <w:sz w:val="24"/>
                <w:szCs w:val="24"/>
              </w:rPr>
              <w:t>Projekta iesnieguma 1.6.1.apakšpunktā</w:t>
            </w:r>
            <w:r w:rsidR="00010A33">
              <w:rPr>
                <w:rFonts w:ascii="Times New Roman" w:hAnsi="Times New Roman"/>
                <w:sz w:val="24"/>
                <w:szCs w:val="24"/>
              </w:rPr>
              <w:t xml:space="preserve"> “Iznākuma rādītāji”</w:t>
            </w:r>
            <w:r w:rsidR="00912B9A" w:rsidRPr="00537A72">
              <w:rPr>
                <w:rFonts w:ascii="Times New Roman" w:hAnsi="Times New Roman"/>
                <w:sz w:val="24"/>
                <w:szCs w:val="24"/>
              </w:rPr>
              <w:t xml:space="preserve"> jānorāda rādītājs atbilstoši pilnu slodžu ekvivalentam,</w:t>
            </w:r>
            <w:r w:rsidR="00537A72" w:rsidRPr="00537A72">
              <w:rPr>
                <w:rFonts w:ascii="Times New Roman" w:hAnsi="Times New Roman"/>
                <w:sz w:val="24"/>
                <w:szCs w:val="24"/>
              </w:rPr>
              <w:t xml:space="preserve"> piemēram,</w:t>
            </w:r>
            <w:r w:rsidR="00912B9A" w:rsidRPr="00537A72">
              <w:rPr>
                <w:rFonts w:ascii="Times New Roman" w:hAnsi="Times New Roman"/>
                <w:sz w:val="24"/>
                <w:szCs w:val="24"/>
              </w:rPr>
              <w:t xml:space="preserve"> ja </w:t>
            </w:r>
            <w:r w:rsidR="003F641E">
              <w:rPr>
                <w:rFonts w:ascii="Times New Roman" w:hAnsi="Times New Roman"/>
                <w:sz w:val="24"/>
                <w:szCs w:val="24"/>
              </w:rPr>
              <w:t>ir 3</w:t>
            </w:r>
            <w:r w:rsidR="00912B9A" w:rsidRPr="00537A72">
              <w:rPr>
                <w:rFonts w:ascii="Times New Roman" w:hAnsi="Times New Roman"/>
                <w:sz w:val="24"/>
                <w:szCs w:val="24"/>
              </w:rPr>
              <w:t xml:space="preserve"> darbinieki (</w:t>
            </w:r>
            <w:r w:rsidR="003F641E">
              <w:rPr>
                <w:rFonts w:ascii="Times New Roman" w:hAnsi="Times New Roman"/>
                <w:sz w:val="24"/>
                <w:szCs w:val="24"/>
              </w:rPr>
              <w:t xml:space="preserve">1 slodze, </w:t>
            </w:r>
            <w:r w:rsidR="00912B9A" w:rsidRPr="00537A72">
              <w:rPr>
                <w:rFonts w:ascii="Times New Roman" w:hAnsi="Times New Roman"/>
                <w:sz w:val="24"/>
                <w:szCs w:val="24"/>
              </w:rPr>
              <w:t xml:space="preserve">0,3 </w:t>
            </w:r>
            <w:r w:rsidR="003F641E">
              <w:rPr>
                <w:rFonts w:ascii="Times New Roman" w:hAnsi="Times New Roman"/>
                <w:sz w:val="24"/>
                <w:szCs w:val="24"/>
              </w:rPr>
              <w:t xml:space="preserve">slodze </w:t>
            </w:r>
            <w:r w:rsidR="00912B9A" w:rsidRPr="00537A72">
              <w:rPr>
                <w:rFonts w:ascii="Times New Roman" w:hAnsi="Times New Roman"/>
                <w:sz w:val="24"/>
                <w:szCs w:val="24"/>
              </w:rPr>
              <w:t>un 0,7 slodze),</w:t>
            </w:r>
            <w:r w:rsidR="00010A33">
              <w:rPr>
                <w:rFonts w:ascii="Times New Roman" w:hAnsi="Times New Roman"/>
                <w:sz w:val="24"/>
                <w:szCs w:val="24"/>
              </w:rPr>
              <w:t xml:space="preserve"> kas projektā nodarbināti visu projekta īstenošanas laiku,</w:t>
            </w:r>
            <w:r w:rsidR="00912B9A" w:rsidRPr="00537A72">
              <w:rPr>
                <w:rFonts w:ascii="Times New Roman" w:hAnsi="Times New Roman"/>
                <w:sz w:val="24"/>
                <w:szCs w:val="24"/>
              </w:rPr>
              <w:t xml:space="preserve"> tad pie rādītāja “Darbinieku skaits, kuru algas līdzfinansē TP” </w:t>
            </w:r>
            <w:r w:rsidR="00537A72" w:rsidRPr="00537A72">
              <w:rPr>
                <w:rFonts w:ascii="Times New Roman" w:hAnsi="Times New Roman"/>
                <w:sz w:val="24"/>
                <w:szCs w:val="24"/>
              </w:rPr>
              <w:t>jānorāda</w:t>
            </w:r>
            <w:r w:rsidR="00912B9A" w:rsidRPr="00537A72">
              <w:rPr>
                <w:rFonts w:ascii="Times New Roman" w:hAnsi="Times New Roman"/>
                <w:sz w:val="24"/>
                <w:szCs w:val="24"/>
              </w:rPr>
              <w:t xml:space="preserve"> “</w:t>
            </w:r>
            <w:r w:rsidR="003F641E">
              <w:rPr>
                <w:rFonts w:ascii="Times New Roman" w:hAnsi="Times New Roman"/>
                <w:sz w:val="24"/>
                <w:szCs w:val="24"/>
              </w:rPr>
              <w:t>2</w:t>
            </w:r>
            <w:r w:rsidR="00912B9A" w:rsidRPr="00537A72">
              <w:rPr>
                <w:rFonts w:ascii="Times New Roman" w:hAnsi="Times New Roman"/>
                <w:sz w:val="24"/>
                <w:szCs w:val="24"/>
              </w:rPr>
              <w:t xml:space="preserve">”, mērvienība ir “slodzes ekvivalents” un kolonnā “Piezīmes” </w:t>
            </w:r>
            <w:r w:rsidR="00537A72" w:rsidRPr="00537A72">
              <w:rPr>
                <w:rFonts w:ascii="Times New Roman" w:hAnsi="Times New Roman"/>
                <w:sz w:val="24"/>
                <w:szCs w:val="24"/>
              </w:rPr>
              <w:t>jānorāda</w:t>
            </w:r>
            <w:r w:rsidR="003F641E">
              <w:rPr>
                <w:rFonts w:ascii="Times New Roman" w:hAnsi="Times New Roman"/>
                <w:sz w:val="24"/>
                <w:szCs w:val="24"/>
              </w:rPr>
              <w:t xml:space="preserve"> 3</w:t>
            </w:r>
            <w:r w:rsidR="00912B9A" w:rsidRPr="00537A72">
              <w:rPr>
                <w:rFonts w:ascii="Times New Roman" w:hAnsi="Times New Roman"/>
                <w:sz w:val="24"/>
                <w:szCs w:val="24"/>
              </w:rPr>
              <w:t xml:space="preserve"> darbinieki (</w:t>
            </w:r>
            <w:r w:rsidR="003F641E">
              <w:rPr>
                <w:rFonts w:ascii="Times New Roman" w:hAnsi="Times New Roman"/>
                <w:sz w:val="24"/>
                <w:szCs w:val="24"/>
              </w:rPr>
              <w:t xml:space="preserve">1 slodze, </w:t>
            </w:r>
            <w:r w:rsidR="00912B9A" w:rsidRPr="00537A72">
              <w:rPr>
                <w:rFonts w:ascii="Times New Roman" w:hAnsi="Times New Roman"/>
                <w:sz w:val="24"/>
                <w:szCs w:val="24"/>
              </w:rPr>
              <w:t>0,3</w:t>
            </w:r>
            <w:r w:rsidR="003F641E">
              <w:rPr>
                <w:rFonts w:ascii="Times New Roman" w:hAnsi="Times New Roman"/>
                <w:sz w:val="24"/>
                <w:szCs w:val="24"/>
              </w:rPr>
              <w:t xml:space="preserve"> slodze</w:t>
            </w:r>
            <w:r w:rsidR="00912B9A" w:rsidRPr="00537A72">
              <w:rPr>
                <w:rFonts w:ascii="Times New Roman" w:hAnsi="Times New Roman"/>
                <w:sz w:val="24"/>
                <w:szCs w:val="24"/>
              </w:rPr>
              <w:t xml:space="preserve"> un 0,7 slodze). </w:t>
            </w:r>
          </w:p>
          <w:p w:rsidR="00762EAB" w:rsidRDefault="00912B9A" w:rsidP="00762EAB">
            <w:pPr>
              <w:jc w:val="both"/>
              <w:rPr>
                <w:rFonts w:ascii="Arial" w:hAnsi="Arial" w:cs="Arial"/>
                <w:sz w:val="20"/>
                <w:szCs w:val="20"/>
              </w:rPr>
            </w:pPr>
            <w:r w:rsidRPr="00537A72">
              <w:rPr>
                <w:rFonts w:ascii="Times New Roman" w:hAnsi="Times New Roman"/>
                <w:sz w:val="24"/>
                <w:szCs w:val="24"/>
              </w:rPr>
              <w:t xml:space="preserve">Tos papildus darbiniekus, kas </w:t>
            </w:r>
            <w:r w:rsidR="00537A72" w:rsidRPr="00537A72">
              <w:rPr>
                <w:rFonts w:ascii="Times New Roman" w:hAnsi="Times New Roman"/>
                <w:sz w:val="24"/>
                <w:szCs w:val="24"/>
              </w:rPr>
              <w:t>projekta īstenošanas</w:t>
            </w:r>
            <w:r w:rsidRPr="00537A72">
              <w:rPr>
                <w:rFonts w:ascii="Times New Roman" w:hAnsi="Times New Roman"/>
                <w:sz w:val="24"/>
                <w:szCs w:val="24"/>
              </w:rPr>
              <w:t xml:space="preserve"> periodā </w:t>
            </w:r>
            <w:r w:rsidR="00537A72" w:rsidRPr="00537A72">
              <w:rPr>
                <w:rFonts w:ascii="Times New Roman" w:hAnsi="Times New Roman"/>
                <w:sz w:val="24"/>
                <w:szCs w:val="24"/>
              </w:rPr>
              <w:t>projekta īstenošanai</w:t>
            </w:r>
            <w:r w:rsidRPr="00537A72">
              <w:rPr>
                <w:rFonts w:ascii="Times New Roman" w:hAnsi="Times New Roman"/>
                <w:sz w:val="24"/>
                <w:szCs w:val="24"/>
              </w:rPr>
              <w:t xml:space="preserve"> būs piesaistīti</w:t>
            </w:r>
            <w:r w:rsidR="00537A72" w:rsidRPr="00537A72">
              <w:rPr>
                <w:rFonts w:ascii="Times New Roman" w:hAnsi="Times New Roman"/>
                <w:sz w:val="24"/>
                <w:szCs w:val="24"/>
              </w:rPr>
              <w:t xml:space="preserve">, piemēram, uz vienu </w:t>
            </w:r>
            <w:r w:rsidR="003F641E">
              <w:rPr>
                <w:rFonts w:ascii="Times New Roman" w:hAnsi="Times New Roman"/>
                <w:sz w:val="24"/>
                <w:szCs w:val="24"/>
              </w:rPr>
              <w:t>mēnesi</w:t>
            </w:r>
            <w:r w:rsidR="00537A72" w:rsidRPr="00537A72">
              <w:rPr>
                <w:rFonts w:ascii="Times New Roman" w:hAnsi="Times New Roman"/>
                <w:sz w:val="24"/>
                <w:szCs w:val="24"/>
              </w:rPr>
              <w:t>, jānorāda</w:t>
            </w:r>
            <w:r w:rsidRPr="00537A72">
              <w:rPr>
                <w:rFonts w:ascii="Times New Roman" w:hAnsi="Times New Roman"/>
                <w:sz w:val="24"/>
                <w:szCs w:val="24"/>
              </w:rPr>
              <w:t xml:space="preserve"> pie darbību apraksta, projekta iesnieguma 2.1.punktā</w:t>
            </w:r>
            <w:r w:rsidR="00010A33">
              <w:rPr>
                <w:rFonts w:ascii="Times New Roman" w:hAnsi="Times New Roman"/>
                <w:sz w:val="24"/>
                <w:szCs w:val="24"/>
              </w:rPr>
              <w:t xml:space="preserve"> “Projekta īstenošanas kapacitāte”</w:t>
            </w:r>
            <w:r w:rsidRPr="00537A72">
              <w:rPr>
                <w:rFonts w:ascii="Times New Roman" w:hAnsi="Times New Roman"/>
                <w:sz w:val="24"/>
                <w:szCs w:val="24"/>
              </w:rPr>
              <w:t xml:space="preserve"> un izmaksu pamatojumā, taču pie rezultāta projekta iesnieguma 1.6.1.apakšpunktā </w:t>
            </w:r>
            <w:r w:rsidR="00010A33">
              <w:rPr>
                <w:rFonts w:ascii="Times New Roman" w:hAnsi="Times New Roman"/>
                <w:sz w:val="24"/>
                <w:szCs w:val="24"/>
              </w:rPr>
              <w:t>“Iznākuma rādītāji”</w:t>
            </w:r>
            <w:r w:rsidR="00010A33" w:rsidRPr="00537A72">
              <w:rPr>
                <w:rFonts w:ascii="Times New Roman" w:hAnsi="Times New Roman"/>
                <w:sz w:val="24"/>
                <w:szCs w:val="24"/>
              </w:rPr>
              <w:t xml:space="preserve"> </w:t>
            </w:r>
            <w:r w:rsidR="00537A72" w:rsidRPr="00537A72">
              <w:rPr>
                <w:rFonts w:ascii="Times New Roman" w:hAnsi="Times New Roman"/>
                <w:sz w:val="24"/>
                <w:szCs w:val="24"/>
              </w:rPr>
              <w:t>nav jānorāda</w:t>
            </w:r>
            <w:r w:rsidRPr="00537A72">
              <w:rPr>
                <w:rFonts w:ascii="Times New Roman" w:hAnsi="Times New Roman"/>
                <w:sz w:val="24"/>
                <w:szCs w:val="24"/>
              </w:rPr>
              <w:t>.</w:t>
            </w:r>
          </w:p>
        </w:tc>
      </w:tr>
      <w:tr w:rsidR="00C357CE" w:rsidRPr="002D622B" w:rsidTr="00CD1BFE">
        <w:tc>
          <w:tcPr>
            <w:tcW w:w="10632" w:type="dxa"/>
            <w:tcBorders>
              <w:top w:val="single" w:sz="4" w:space="0" w:color="auto"/>
              <w:left w:val="nil"/>
              <w:bottom w:val="single" w:sz="4" w:space="0" w:color="auto"/>
              <w:right w:val="nil"/>
            </w:tcBorders>
            <w:shd w:val="clear" w:color="auto" w:fill="FFFFFF" w:themeFill="background1"/>
          </w:tcPr>
          <w:p w:rsidR="00C357CE" w:rsidRPr="00C357CE" w:rsidRDefault="00C357CE" w:rsidP="00C357CE">
            <w:pPr>
              <w:jc w:val="both"/>
              <w:rPr>
                <w:b/>
              </w:rPr>
            </w:pPr>
          </w:p>
        </w:tc>
      </w:tr>
      <w:tr w:rsidR="00664090" w:rsidRPr="002D622B" w:rsidTr="00CD1BFE">
        <w:tc>
          <w:tcPr>
            <w:tcW w:w="10632" w:type="dxa"/>
            <w:tcBorders>
              <w:top w:val="single" w:sz="4" w:space="0" w:color="auto"/>
            </w:tcBorders>
            <w:shd w:val="clear" w:color="auto" w:fill="D9D9D9" w:themeFill="background1" w:themeFillShade="D9"/>
          </w:tcPr>
          <w:p w:rsidR="00664090" w:rsidRPr="00C357CE" w:rsidRDefault="007D4739" w:rsidP="00C357CE">
            <w:pPr>
              <w:pStyle w:val="ListParagraph"/>
              <w:numPr>
                <w:ilvl w:val="0"/>
                <w:numId w:val="11"/>
              </w:numPr>
              <w:ind w:left="317"/>
              <w:jc w:val="both"/>
              <w:rPr>
                <w:b/>
              </w:rPr>
            </w:pPr>
            <w:r w:rsidRPr="00C357CE">
              <w:rPr>
                <w:b/>
              </w:rPr>
              <w:t xml:space="preserve">Jautājums: </w:t>
            </w:r>
            <w:r w:rsidRPr="00C31E22">
              <w:t>V</w:t>
            </w:r>
            <w:r w:rsidR="00664090" w:rsidRPr="007D4739">
              <w:t>ai TP 2.kārtas projektiem vairs nav spēkā nosacījums, ka projekta vadības personālam var noteikt piemaksas, ja noslodze projektā ir mazāka par 0.3%, līdzīgi kā tas ir bijis 1.kārtā;</w:t>
            </w:r>
          </w:p>
        </w:tc>
      </w:tr>
      <w:tr w:rsidR="00912B9A" w:rsidRPr="002D622B" w:rsidTr="00CD1BFE">
        <w:tc>
          <w:tcPr>
            <w:tcW w:w="10632" w:type="dxa"/>
            <w:tcBorders>
              <w:bottom w:val="single" w:sz="4" w:space="0" w:color="auto"/>
            </w:tcBorders>
            <w:shd w:val="clear" w:color="auto" w:fill="auto"/>
          </w:tcPr>
          <w:p w:rsidR="003425AD" w:rsidRPr="0082323F" w:rsidRDefault="007D4739" w:rsidP="0097481C">
            <w:pPr>
              <w:jc w:val="both"/>
              <w:rPr>
                <w:rFonts w:ascii="Times New Roman" w:hAnsi="Times New Roman"/>
                <w:sz w:val="24"/>
                <w:szCs w:val="24"/>
              </w:rPr>
            </w:pPr>
            <w:r w:rsidRPr="007D4739">
              <w:rPr>
                <w:rFonts w:ascii="Times New Roman" w:hAnsi="Times New Roman"/>
                <w:b/>
                <w:sz w:val="24"/>
                <w:szCs w:val="24"/>
              </w:rPr>
              <w:t>Atbilde</w:t>
            </w:r>
            <w:r w:rsidR="00A13B65">
              <w:rPr>
                <w:rFonts w:ascii="Times New Roman" w:hAnsi="Times New Roman"/>
                <w:b/>
                <w:sz w:val="24"/>
                <w:szCs w:val="24"/>
              </w:rPr>
              <w:t xml:space="preserve"> </w:t>
            </w:r>
            <w:r w:rsidR="00A13B65" w:rsidRPr="00A13B65">
              <w:rPr>
                <w:rFonts w:ascii="Times New Roman" w:hAnsi="Times New Roman"/>
                <w:i/>
                <w:color w:val="FF0000"/>
                <w:sz w:val="24"/>
                <w:szCs w:val="24"/>
              </w:rPr>
              <w:t>(papildināta 1</w:t>
            </w:r>
            <w:r w:rsidR="008F710B">
              <w:rPr>
                <w:rFonts w:ascii="Times New Roman" w:hAnsi="Times New Roman"/>
                <w:i/>
                <w:color w:val="FF0000"/>
                <w:sz w:val="24"/>
                <w:szCs w:val="24"/>
              </w:rPr>
              <w:t>1</w:t>
            </w:r>
            <w:r w:rsidR="00A13B65" w:rsidRPr="00A13B65">
              <w:rPr>
                <w:rFonts w:ascii="Times New Roman" w:hAnsi="Times New Roman"/>
                <w:i/>
                <w:color w:val="FF0000"/>
                <w:sz w:val="24"/>
                <w:szCs w:val="24"/>
              </w:rPr>
              <w:t>.10.2018.)</w:t>
            </w:r>
            <w:r w:rsidRPr="007D4739">
              <w:rPr>
                <w:rFonts w:ascii="Times New Roman" w:hAnsi="Times New Roman"/>
                <w:b/>
                <w:sz w:val="24"/>
                <w:szCs w:val="24"/>
              </w:rPr>
              <w:t>:</w:t>
            </w:r>
            <w:r w:rsidRPr="0082323F">
              <w:rPr>
                <w:rFonts w:ascii="Times New Roman" w:hAnsi="Times New Roman"/>
                <w:sz w:val="24"/>
                <w:szCs w:val="24"/>
              </w:rPr>
              <w:t xml:space="preserve"> </w:t>
            </w:r>
            <w:r w:rsidR="003425AD" w:rsidRPr="0082323F">
              <w:rPr>
                <w:rFonts w:ascii="Times New Roman" w:hAnsi="Times New Roman"/>
                <w:sz w:val="24"/>
                <w:szCs w:val="24"/>
              </w:rPr>
              <w:t xml:space="preserve">Projekta </w:t>
            </w:r>
            <w:r w:rsidR="003425AD" w:rsidRPr="0082323F">
              <w:rPr>
                <w:rFonts w:ascii="Times New Roman" w:hAnsi="Times New Roman"/>
                <w:sz w:val="24"/>
                <w:szCs w:val="24"/>
                <w:u w:val="single"/>
              </w:rPr>
              <w:t>vadības personālam</w:t>
            </w:r>
            <w:r w:rsidR="003425AD" w:rsidRPr="0082323F">
              <w:rPr>
                <w:rFonts w:ascii="Times New Roman" w:hAnsi="Times New Roman"/>
                <w:sz w:val="24"/>
                <w:szCs w:val="24"/>
              </w:rPr>
              <w:t xml:space="preserve"> atalgojumu maksā atbilstoši MK noteikumu 13.4., 17.2., 21.8., 33.7. un 40.8.punktā un </w:t>
            </w:r>
            <w:proofErr w:type="spellStart"/>
            <w:r w:rsidR="003425AD" w:rsidRPr="0082323F">
              <w:rPr>
                <w:rFonts w:ascii="Times New Roman" w:hAnsi="Times New Roman"/>
                <w:sz w:val="24"/>
                <w:szCs w:val="24"/>
              </w:rPr>
              <w:t>V.sadaļā</w:t>
            </w:r>
            <w:proofErr w:type="spellEnd"/>
            <w:r w:rsidR="003425AD" w:rsidRPr="0082323F">
              <w:rPr>
                <w:rFonts w:ascii="Times New Roman" w:hAnsi="Times New Roman"/>
                <w:sz w:val="24"/>
                <w:szCs w:val="24"/>
              </w:rPr>
              <w:t xml:space="preserve"> noteiktajam, taču projekta ietvaros projekta vadības personālam, kuru darba laiks nesasniedz 30% no normālā darba laika, var tikt attiecinātas arī tikai piemaksas, atbilstoši Finanšu ministrijas 2017.gada 11.jūlija vadlīniju Nr.2.1. “Vadlīnijas attiecināmo un neattiecināmo izmaksu noteikšanai 2014.-2020.gada plānošanas periodā” 47.4.apakšpunktam.</w:t>
            </w:r>
          </w:p>
          <w:p w:rsidR="00762EAB" w:rsidRDefault="003425AD" w:rsidP="0097481C">
            <w:pPr>
              <w:jc w:val="both"/>
            </w:pPr>
            <w:r w:rsidRPr="0082323F">
              <w:rPr>
                <w:rFonts w:ascii="Times New Roman" w:hAnsi="Times New Roman"/>
                <w:sz w:val="24"/>
                <w:szCs w:val="24"/>
              </w:rPr>
              <w:t xml:space="preserve">Atbilstoši MK noteikumu anotācijā un Finanšu ministrijas 2017.gada 11.jūlija vadlīniju Nr.2.1. “Vadlīnijas attiecināmo un neattiecināmo izmaksu noteikšanai 2014.-2020.gada plānošanas periodā” 47.3.apakšpunktā noteiktajam piemaksas nemaksājot pamatalgu var būt tikai pašvaldību </w:t>
            </w:r>
            <w:r w:rsidRPr="0082323F">
              <w:rPr>
                <w:rFonts w:ascii="Times New Roman" w:hAnsi="Times New Roman"/>
                <w:sz w:val="24"/>
                <w:szCs w:val="24"/>
                <w:u w:val="single"/>
              </w:rPr>
              <w:t>īstenošanas personālam</w:t>
            </w:r>
            <w:r w:rsidRPr="0082323F">
              <w:rPr>
                <w:rFonts w:ascii="Times New Roman" w:hAnsi="Times New Roman"/>
                <w:sz w:val="24"/>
                <w:szCs w:val="24"/>
              </w:rPr>
              <w:t>, kas ir TP finansējuma saņēmēji. Pārējiem finansējuma saņēmējiem projekta īstenošanas personālam ir jāparedz pamatalgas ievērojot MK noteikumos noteikto</w:t>
            </w:r>
            <w:r w:rsidR="007D4739" w:rsidRPr="0082323F">
              <w:rPr>
                <w:rFonts w:ascii="Times New Roman" w:hAnsi="Times New Roman"/>
                <w:sz w:val="24"/>
                <w:szCs w:val="24"/>
              </w:rPr>
              <w:t>.</w:t>
            </w:r>
          </w:p>
        </w:tc>
      </w:tr>
      <w:tr w:rsidR="00C357CE" w:rsidRPr="002D622B" w:rsidTr="00CD1BFE">
        <w:tc>
          <w:tcPr>
            <w:tcW w:w="10632" w:type="dxa"/>
            <w:tcBorders>
              <w:top w:val="single" w:sz="4" w:space="0" w:color="auto"/>
              <w:left w:val="nil"/>
              <w:bottom w:val="single" w:sz="4" w:space="0" w:color="auto"/>
              <w:right w:val="nil"/>
            </w:tcBorders>
            <w:shd w:val="clear" w:color="auto" w:fill="auto"/>
          </w:tcPr>
          <w:p w:rsidR="00C357CE" w:rsidRPr="007D4739" w:rsidRDefault="00C357CE" w:rsidP="009C6A07">
            <w:pPr>
              <w:jc w:val="both"/>
              <w:rPr>
                <w:rFonts w:ascii="Times New Roman" w:hAnsi="Times New Roman"/>
                <w:b/>
                <w:sz w:val="24"/>
                <w:szCs w:val="24"/>
              </w:rPr>
            </w:pPr>
          </w:p>
        </w:tc>
      </w:tr>
      <w:tr w:rsidR="00C357CE" w:rsidRPr="00C357CE" w:rsidTr="00CD1BFE">
        <w:tc>
          <w:tcPr>
            <w:tcW w:w="10632" w:type="dxa"/>
            <w:tcBorders>
              <w:top w:val="single" w:sz="4" w:space="0" w:color="auto"/>
            </w:tcBorders>
            <w:shd w:val="clear" w:color="auto" w:fill="D9D9D9" w:themeFill="background1" w:themeFillShade="D9"/>
          </w:tcPr>
          <w:p w:rsidR="00664090" w:rsidRPr="00C357CE" w:rsidRDefault="007D4739" w:rsidP="00C357CE">
            <w:pPr>
              <w:pStyle w:val="ListParagraph"/>
              <w:numPr>
                <w:ilvl w:val="0"/>
                <w:numId w:val="11"/>
              </w:numPr>
              <w:ind w:left="317"/>
              <w:jc w:val="both"/>
            </w:pPr>
            <w:r w:rsidRPr="00C357CE">
              <w:rPr>
                <w:b/>
              </w:rPr>
              <w:t>Jautājums:</w:t>
            </w:r>
            <w:r w:rsidRPr="00C357CE">
              <w:t xml:space="preserve"> </w:t>
            </w:r>
            <w:r w:rsidR="00664090" w:rsidRPr="00C357CE">
              <w:t>Vai projekta budžetā jādzēš rindas, kas uz mūsu projektu neattiecas vai tās ir jāatstāj, atbilstoši aizp</w:t>
            </w:r>
            <w:r w:rsidRPr="00C357CE">
              <w:t>ildot ar "0"?</w:t>
            </w:r>
          </w:p>
        </w:tc>
      </w:tr>
      <w:tr w:rsidR="00664090" w:rsidRPr="002D622B" w:rsidTr="00CD1BFE">
        <w:tc>
          <w:tcPr>
            <w:tcW w:w="10632" w:type="dxa"/>
            <w:tcBorders>
              <w:bottom w:val="single" w:sz="4" w:space="0" w:color="auto"/>
            </w:tcBorders>
            <w:shd w:val="clear" w:color="auto" w:fill="auto"/>
          </w:tcPr>
          <w:p w:rsidR="00762EAB" w:rsidRDefault="007D4739" w:rsidP="00762EAB">
            <w:pPr>
              <w:jc w:val="both"/>
              <w:rPr>
                <w:rFonts w:ascii="Times New Roman" w:hAnsi="Times New Roman"/>
                <w:color w:val="1F497D"/>
                <w:sz w:val="24"/>
                <w:szCs w:val="24"/>
              </w:rPr>
            </w:pPr>
            <w:r w:rsidRPr="007D4739">
              <w:rPr>
                <w:rFonts w:ascii="Times New Roman" w:hAnsi="Times New Roman"/>
                <w:b/>
                <w:sz w:val="24"/>
                <w:szCs w:val="24"/>
              </w:rPr>
              <w:t>Atbilde:</w:t>
            </w:r>
            <w:r>
              <w:rPr>
                <w:rFonts w:ascii="Times New Roman" w:hAnsi="Times New Roman"/>
                <w:sz w:val="24"/>
                <w:szCs w:val="24"/>
              </w:rPr>
              <w:t xml:space="preserve"> </w:t>
            </w:r>
            <w:r w:rsidR="00912B9A" w:rsidRPr="007D4739">
              <w:rPr>
                <w:rFonts w:ascii="Times New Roman" w:hAnsi="Times New Roman" w:cs="Times New Roman"/>
                <w:sz w:val="24"/>
                <w:szCs w:val="24"/>
              </w:rPr>
              <w:t xml:space="preserve">KP VIS izveidotās rindas dzēst nav iespējams. Aizpildot projekta iesniegumu KP VIS ailes (it sevišķi projekta iesnieguma 3.pielikumā “Projekta budžeta kopsavilkums”), kas uz </w:t>
            </w:r>
            <w:r>
              <w:rPr>
                <w:rFonts w:ascii="Times New Roman" w:hAnsi="Times New Roman" w:cs="Times New Roman"/>
                <w:sz w:val="24"/>
                <w:szCs w:val="24"/>
              </w:rPr>
              <w:t>konkrēto projektu</w:t>
            </w:r>
            <w:r w:rsidR="00912B9A" w:rsidRPr="007D4739">
              <w:rPr>
                <w:rFonts w:ascii="Times New Roman" w:hAnsi="Times New Roman" w:cs="Times New Roman"/>
                <w:sz w:val="24"/>
                <w:szCs w:val="24"/>
              </w:rPr>
              <w:t xml:space="preserve"> neattiecas, jāatstāj tukšas, līdz ar to tās projekta iesniegumā neuzrādīsies.</w:t>
            </w:r>
          </w:p>
        </w:tc>
      </w:tr>
      <w:tr w:rsidR="00092096" w:rsidRPr="002D622B" w:rsidTr="00CD1BFE">
        <w:tc>
          <w:tcPr>
            <w:tcW w:w="10632" w:type="dxa"/>
            <w:tcBorders>
              <w:top w:val="single" w:sz="4" w:space="0" w:color="auto"/>
              <w:left w:val="nil"/>
              <w:bottom w:val="single" w:sz="4" w:space="0" w:color="auto"/>
              <w:right w:val="nil"/>
            </w:tcBorders>
            <w:shd w:val="clear" w:color="auto" w:fill="auto"/>
          </w:tcPr>
          <w:p w:rsidR="00092096" w:rsidRPr="007D4739" w:rsidRDefault="00092096" w:rsidP="00B539B2">
            <w:pPr>
              <w:jc w:val="both"/>
              <w:rPr>
                <w:rFonts w:ascii="Times New Roman" w:hAnsi="Times New Roman"/>
                <w:b/>
                <w:sz w:val="24"/>
                <w:szCs w:val="24"/>
              </w:rPr>
            </w:pPr>
          </w:p>
        </w:tc>
      </w:tr>
      <w:tr w:rsidR="000E16C1" w:rsidRPr="002D622B" w:rsidTr="00CD1BFE">
        <w:tc>
          <w:tcPr>
            <w:tcW w:w="10632" w:type="dxa"/>
            <w:tcBorders>
              <w:top w:val="single" w:sz="4" w:space="0" w:color="auto"/>
            </w:tcBorders>
            <w:shd w:val="clear" w:color="auto" w:fill="D9D9D9" w:themeFill="background1" w:themeFillShade="D9"/>
          </w:tcPr>
          <w:p w:rsidR="000E16C1" w:rsidRPr="000E16C1" w:rsidRDefault="000E16C1" w:rsidP="00092096">
            <w:pPr>
              <w:pStyle w:val="ListParagraph"/>
              <w:numPr>
                <w:ilvl w:val="0"/>
                <w:numId w:val="11"/>
              </w:numPr>
              <w:ind w:left="317"/>
              <w:jc w:val="both"/>
              <w:rPr>
                <w:b/>
              </w:rPr>
            </w:pPr>
            <w:r>
              <w:rPr>
                <w:b/>
              </w:rPr>
              <w:t xml:space="preserve">Jautājums: </w:t>
            </w:r>
            <w:r w:rsidR="00F9539E" w:rsidRPr="00F9539E">
              <w:t>Projekta iesnieguma</w:t>
            </w:r>
            <w:r w:rsidR="00F9539E">
              <w:rPr>
                <w:b/>
              </w:rPr>
              <w:t xml:space="preserve"> </w:t>
            </w:r>
            <w:r>
              <w:t xml:space="preserve">1.6.1.apakšpunktā "Iznākuma rādītāji" un 1.6.2.apakšpunktā "Rezultāta rādītāji" -  jāaizpilda tikai tās sadaļas, kas nepieciešamas un pārējās jāatstāj tukšas - vai KPVIS to pieļauj? </w:t>
            </w:r>
          </w:p>
        </w:tc>
      </w:tr>
      <w:tr w:rsidR="000E16C1" w:rsidRPr="000E16C1" w:rsidTr="00CD1BFE">
        <w:tc>
          <w:tcPr>
            <w:tcW w:w="10632" w:type="dxa"/>
            <w:tcBorders>
              <w:bottom w:val="single" w:sz="4" w:space="0" w:color="auto"/>
            </w:tcBorders>
            <w:shd w:val="clear" w:color="auto" w:fill="auto"/>
          </w:tcPr>
          <w:p w:rsidR="00762EAB" w:rsidRPr="000E16C1" w:rsidRDefault="000E16C1" w:rsidP="00762EAB">
            <w:pPr>
              <w:jc w:val="both"/>
              <w:rPr>
                <w:rFonts w:ascii="Times New Roman" w:hAnsi="Times New Roman"/>
                <w:b/>
                <w:sz w:val="24"/>
                <w:szCs w:val="24"/>
              </w:rPr>
            </w:pPr>
            <w:r w:rsidRPr="000E16C1">
              <w:rPr>
                <w:rFonts w:ascii="Times New Roman" w:hAnsi="Times New Roman"/>
                <w:b/>
                <w:sz w:val="24"/>
                <w:szCs w:val="24"/>
              </w:rPr>
              <w:t xml:space="preserve">Atbilde: </w:t>
            </w:r>
            <w:r w:rsidRPr="000E16C1">
              <w:rPr>
                <w:rFonts w:ascii="Times New Roman" w:hAnsi="Times New Roman"/>
                <w:sz w:val="24"/>
                <w:szCs w:val="24"/>
              </w:rPr>
              <w:t xml:space="preserve">Projekta iesnieguma 1.6.1.apakšpunktā “Iznākuma rādītāji” un 1.6.2.apakšpunktā “Rezultāta rādītāji” KP VIS  jāaizpilda visi datu lauki. Rādītājiem, kas attiecas uz konkrēto projektu, </w:t>
            </w:r>
            <w:r w:rsidR="00010A33">
              <w:rPr>
                <w:rFonts w:ascii="Times New Roman" w:hAnsi="Times New Roman"/>
                <w:sz w:val="24"/>
                <w:szCs w:val="24"/>
              </w:rPr>
              <w:t>jānorāda</w:t>
            </w:r>
            <w:r w:rsidRPr="000E16C1">
              <w:rPr>
                <w:rFonts w:ascii="Times New Roman" w:hAnsi="Times New Roman"/>
                <w:sz w:val="24"/>
                <w:szCs w:val="24"/>
              </w:rPr>
              <w:t xml:space="preserve"> sasniedzamās vērtības, bet rādītājiem, kas uz projektu neattiecas</w:t>
            </w:r>
            <w:r w:rsidR="00010A33">
              <w:rPr>
                <w:rFonts w:ascii="Times New Roman" w:hAnsi="Times New Roman"/>
                <w:sz w:val="24"/>
                <w:szCs w:val="24"/>
              </w:rPr>
              <w:t>,</w:t>
            </w:r>
            <w:r w:rsidRPr="000E16C1">
              <w:rPr>
                <w:rFonts w:ascii="Times New Roman" w:hAnsi="Times New Roman"/>
                <w:sz w:val="24"/>
                <w:szCs w:val="24"/>
              </w:rPr>
              <w:t xml:space="preserve"> </w:t>
            </w:r>
            <w:r w:rsidR="00010A33">
              <w:rPr>
                <w:rFonts w:ascii="Times New Roman" w:hAnsi="Times New Roman"/>
                <w:sz w:val="24"/>
                <w:szCs w:val="24"/>
              </w:rPr>
              <w:t>jānorāda</w:t>
            </w:r>
            <w:r w:rsidRPr="000E16C1">
              <w:rPr>
                <w:rFonts w:ascii="Times New Roman" w:hAnsi="Times New Roman"/>
                <w:sz w:val="24"/>
                <w:szCs w:val="24"/>
              </w:rPr>
              <w:t xml:space="preserve"> “0” un kolonnā “Piezīmes” </w:t>
            </w:r>
            <w:r w:rsidR="00010A33">
              <w:rPr>
                <w:rFonts w:ascii="Times New Roman" w:hAnsi="Times New Roman"/>
                <w:sz w:val="24"/>
                <w:szCs w:val="24"/>
              </w:rPr>
              <w:t>jānorāda</w:t>
            </w:r>
            <w:r w:rsidRPr="000E16C1">
              <w:rPr>
                <w:rFonts w:ascii="Times New Roman" w:hAnsi="Times New Roman"/>
                <w:sz w:val="24"/>
                <w:szCs w:val="24"/>
              </w:rPr>
              <w:t xml:space="preserve"> “Uz projektu neattiecas” vai “n/a”.</w:t>
            </w:r>
          </w:p>
        </w:tc>
      </w:tr>
      <w:tr w:rsidR="00092096" w:rsidRPr="000E16C1" w:rsidTr="00CD1BFE">
        <w:tc>
          <w:tcPr>
            <w:tcW w:w="10632" w:type="dxa"/>
            <w:tcBorders>
              <w:top w:val="single" w:sz="4" w:space="0" w:color="auto"/>
              <w:left w:val="nil"/>
              <w:bottom w:val="single" w:sz="4" w:space="0" w:color="auto"/>
              <w:right w:val="nil"/>
            </w:tcBorders>
            <w:shd w:val="clear" w:color="auto" w:fill="auto"/>
          </w:tcPr>
          <w:p w:rsidR="00092096" w:rsidRPr="000E16C1" w:rsidRDefault="00092096" w:rsidP="00010A33">
            <w:pPr>
              <w:jc w:val="both"/>
              <w:rPr>
                <w:rFonts w:ascii="Times New Roman" w:hAnsi="Times New Roman"/>
                <w:b/>
                <w:sz w:val="24"/>
                <w:szCs w:val="24"/>
              </w:rPr>
            </w:pPr>
          </w:p>
        </w:tc>
      </w:tr>
      <w:tr w:rsidR="00092096" w:rsidRPr="00092096" w:rsidTr="00CD1BFE">
        <w:tc>
          <w:tcPr>
            <w:tcW w:w="10632" w:type="dxa"/>
            <w:tcBorders>
              <w:top w:val="single" w:sz="4" w:space="0" w:color="auto"/>
            </w:tcBorders>
            <w:shd w:val="clear" w:color="auto" w:fill="D9D9D9" w:themeFill="background1" w:themeFillShade="D9"/>
          </w:tcPr>
          <w:p w:rsidR="00664090" w:rsidRPr="00092096" w:rsidRDefault="007D4739" w:rsidP="00092096">
            <w:pPr>
              <w:pStyle w:val="ListParagraph"/>
              <w:numPr>
                <w:ilvl w:val="0"/>
                <w:numId w:val="11"/>
              </w:numPr>
              <w:ind w:left="317"/>
              <w:jc w:val="both"/>
            </w:pPr>
            <w:r w:rsidRPr="00092096">
              <w:rPr>
                <w:b/>
              </w:rPr>
              <w:t>Jautājums:</w:t>
            </w:r>
            <w:r w:rsidRPr="00092096">
              <w:t xml:space="preserve"> U</w:t>
            </w:r>
            <w:r w:rsidR="00912B9A" w:rsidRPr="00092096">
              <w:t>zsākoties projekta 1.kārtai</w:t>
            </w:r>
            <w:r w:rsidRPr="00092096">
              <w:t xml:space="preserve"> tika noslēgts līgums par KP VIS lietošanu, v</w:t>
            </w:r>
            <w:r w:rsidR="00912B9A" w:rsidRPr="00092096">
              <w:t xml:space="preserve">ai 2.kārtai līgums ir jāslēdz </w:t>
            </w:r>
            <w:r w:rsidRPr="00092096">
              <w:t>no jauna</w:t>
            </w:r>
            <w:r w:rsidR="00912B9A" w:rsidRPr="00092096">
              <w:t>?</w:t>
            </w:r>
          </w:p>
        </w:tc>
      </w:tr>
      <w:tr w:rsidR="00912B9A" w:rsidRPr="002D622B" w:rsidTr="00CD1BFE">
        <w:tc>
          <w:tcPr>
            <w:tcW w:w="10632" w:type="dxa"/>
            <w:tcBorders>
              <w:bottom w:val="single" w:sz="4" w:space="0" w:color="auto"/>
            </w:tcBorders>
            <w:shd w:val="clear" w:color="auto" w:fill="auto"/>
          </w:tcPr>
          <w:p w:rsidR="00912B9A" w:rsidRPr="007D4739" w:rsidRDefault="007D4739" w:rsidP="009C6A07">
            <w:pPr>
              <w:jc w:val="both"/>
              <w:rPr>
                <w:rFonts w:ascii="Times New Roman" w:hAnsi="Times New Roman"/>
                <w:sz w:val="24"/>
                <w:szCs w:val="24"/>
              </w:rPr>
            </w:pPr>
            <w:r w:rsidRPr="007D4739">
              <w:rPr>
                <w:rFonts w:ascii="Times New Roman" w:hAnsi="Times New Roman"/>
                <w:b/>
                <w:sz w:val="24"/>
                <w:szCs w:val="24"/>
              </w:rPr>
              <w:t>Atbilde:</w:t>
            </w:r>
            <w:r w:rsidRPr="007D4739">
              <w:rPr>
                <w:rFonts w:ascii="Times New Roman" w:hAnsi="Times New Roman"/>
                <w:sz w:val="24"/>
                <w:szCs w:val="24"/>
              </w:rPr>
              <w:t xml:space="preserve"> </w:t>
            </w:r>
            <w:r w:rsidR="00912B9A" w:rsidRPr="007D4739">
              <w:rPr>
                <w:rFonts w:ascii="Times New Roman" w:hAnsi="Times New Roman"/>
                <w:sz w:val="24"/>
                <w:szCs w:val="24"/>
              </w:rPr>
              <w:t>Līgums par KP VIS lietošanu nav jāslēdz no jauna, bet, ja nepieciešams, ir jāaktualizē lietotāja tiesību veidlapa (līguma 2.pielikums).</w:t>
            </w:r>
          </w:p>
          <w:p w:rsidR="00912B9A" w:rsidRPr="007D4739" w:rsidRDefault="00912B9A" w:rsidP="009C6A07">
            <w:pPr>
              <w:jc w:val="both"/>
              <w:rPr>
                <w:rFonts w:ascii="Times New Roman" w:hAnsi="Times New Roman"/>
                <w:sz w:val="24"/>
                <w:szCs w:val="24"/>
              </w:rPr>
            </w:pPr>
          </w:p>
          <w:p w:rsidR="00912B9A" w:rsidRDefault="00912B9A" w:rsidP="00010A33">
            <w:pPr>
              <w:jc w:val="both"/>
              <w:rPr>
                <w:rFonts w:ascii="Times New Roman" w:hAnsi="Times New Roman"/>
                <w:color w:val="1F497D"/>
                <w:sz w:val="24"/>
                <w:szCs w:val="24"/>
              </w:rPr>
            </w:pPr>
            <w:r w:rsidRPr="007D4739">
              <w:rPr>
                <w:rFonts w:ascii="Times New Roman" w:hAnsi="Times New Roman"/>
                <w:sz w:val="24"/>
                <w:szCs w:val="24"/>
              </w:rPr>
              <w:t xml:space="preserve">Konkrētus jautājumus par KP VIS līgumu un tā pielikumu (lietotāju tiesību veidlapu) var uzdot sazinoties ar Programmu vadības un uzraudzības departamenta Vadības informācijas sistēmas nodaļas vecāko referentu Juri </w:t>
            </w:r>
            <w:proofErr w:type="spellStart"/>
            <w:r w:rsidRPr="007D4739">
              <w:rPr>
                <w:rFonts w:ascii="Times New Roman" w:hAnsi="Times New Roman"/>
                <w:sz w:val="24"/>
                <w:szCs w:val="24"/>
              </w:rPr>
              <w:t>Grebežu</w:t>
            </w:r>
            <w:proofErr w:type="spellEnd"/>
            <w:r w:rsidRPr="007D4739">
              <w:rPr>
                <w:rFonts w:ascii="Times New Roman" w:hAnsi="Times New Roman"/>
                <w:sz w:val="24"/>
                <w:szCs w:val="24"/>
              </w:rPr>
              <w:t xml:space="preserve"> (tālrunis 26019593, elektroniskā pasta adrese: </w:t>
            </w:r>
            <w:hyperlink r:id="rId9" w:history="1">
              <w:r>
                <w:rPr>
                  <w:rStyle w:val="Hyperlink"/>
                  <w:rFonts w:ascii="Times New Roman" w:hAnsi="Times New Roman"/>
                  <w:sz w:val="24"/>
                  <w:szCs w:val="24"/>
                </w:rPr>
                <w:t>juris.grebezs@cfla.gov.lv</w:t>
              </w:r>
            </w:hyperlink>
            <w:r w:rsidRPr="007D4739">
              <w:rPr>
                <w:rFonts w:ascii="Times New Roman" w:hAnsi="Times New Roman"/>
                <w:sz w:val="24"/>
                <w:szCs w:val="24"/>
              </w:rPr>
              <w:t>)</w:t>
            </w:r>
            <w:r>
              <w:rPr>
                <w:rFonts w:ascii="Times New Roman" w:hAnsi="Times New Roman"/>
                <w:color w:val="1F497D"/>
                <w:sz w:val="24"/>
                <w:szCs w:val="24"/>
              </w:rPr>
              <w:t xml:space="preserve">. </w:t>
            </w:r>
          </w:p>
          <w:p w:rsidR="00762EAB" w:rsidRDefault="00762EAB" w:rsidP="00010A33">
            <w:pPr>
              <w:jc w:val="both"/>
              <w:rPr>
                <w:color w:val="1F497D"/>
              </w:rPr>
            </w:pPr>
          </w:p>
        </w:tc>
      </w:tr>
    </w:tbl>
    <w:p w:rsidR="004C7134" w:rsidRDefault="004C7134">
      <w:r>
        <w:br w:type="page"/>
      </w:r>
    </w:p>
    <w:tbl>
      <w:tblPr>
        <w:tblStyle w:val="TableGrid"/>
        <w:tblW w:w="10632" w:type="dxa"/>
        <w:tblInd w:w="-1139" w:type="dxa"/>
        <w:tblLook w:val="04A0" w:firstRow="1" w:lastRow="0" w:firstColumn="1" w:lastColumn="0" w:noHBand="0" w:noVBand="1"/>
      </w:tblPr>
      <w:tblGrid>
        <w:gridCol w:w="10632"/>
      </w:tblGrid>
      <w:tr w:rsidR="00664090" w:rsidRPr="002D622B" w:rsidTr="00CD1BFE">
        <w:tc>
          <w:tcPr>
            <w:tcW w:w="10632" w:type="dxa"/>
            <w:tcBorders>
              <w:top w:val="single" w:sz="4" w:space="0" w:color="auto"/>
            </w:tcBorders>
            <w:shd w:val="clear" w:color="auto" w:fill="D9D9D9" w:themeFill="background1" w:themeFillShade="D9"/>
          </w:tcPr>
          <w:p w:rsidR="00664090" w:rsidRPr="00C31E22" w:rsidRDefault="00C31E22" w:rsidP="00092096">
            <w:pPr>
              <w:pStyle w:val="ListParagraph"/>
              <w:numPr>
                <w:ilvl w:val="0"/>
                <w:numId w:val="11"/>
              </w:numPr>
              <w:ind w:left="317"/>
              <w:jc w:val="both"/>
            </w:pPr>
            <w:r w:rsidRPr="00C31E22">
              <w:rPr>
                <w:b/>
              </w:rPr>
              <w:lastRenderedPageBreak/>
              <w:t>Jautājums</w:t>
            </w:r>
            <w:r w:rsidRPr="009B2768">
              <w:rPr>
                <w:b/>
              </w:rPr>
              <w:t>:</w:t>
            </w:r>
            <w:r w:rsidRPr="009B2768">
              <w:t xml:space="preserve"> </w:t>
            </w:r>
            <w:r w:rsidR="009B2768" w:rsidRPr="009B2768">
              <w:rPr>
                <w:color w:val="000000"/>
              </w:rPr>
              <w:t xml:space="preserve">Vai šobrīd ir atbalstāma informācijas sniegšana projekta iesniegumā par ES fondu </w:t>
            </w:r>
            <w:r w:rsidR="009B2768" w:rsidRPr="009B2768">
              <w:t>2021.-2027.gada plānošanas</w:t>
            </w:r>
            <w:r w:rsidR="009B2768" w:rsidRPr="009B2768">
              <w:rPr>
                <w:color w:val="000000"/>
              </w:rPr>
              <w:t xml:space="preserve"> perioda plānošanu?</w:t>
            </w:r>
          </w:p>
        </w:tc>
      </w:tr>
      <w:tr w:rsidR="00C31E22" w:rsidRPr="00C31E22" w:rsidTr="00CD1BFE">
        <w:tc>
          <w:tcPr>
            <w:tcW w:w="10632" w:type="dxa"/>
            <w:tcBorders>
              <w:bottom w:val="single" w:sz="4" w:space="0" w:color="auto"/>
            </w:tcBorders>
            <w:shd w:val="clear" w:color="auto" w:fill="auto"/>
          </w:tcPr>
          <w:p w:rsidR="00912B9A" w:rsidRPr="00184EE3" w:rsidRDefault="009C6A07" w:rsidP="009C6A07">
            <w:pPr>
              <w:jc w:val="both"/>
              <w:rPr>
                <w:rFonts w:ascii="Times New Roman" w:hAnsi="Times New Roman"/>
                <w:sz w:val="24"/>
                <w:szCs w:val="24"/>
              </w:rPr>
            </w:pPr>
            <w:r w:rsidRPr="00184EE3">
              <w:rPr>
                <w:rFonts w:ascii="Times New Roman" w:hAnsi="Times New Roman"/>
                <w:b/>
                <w:sz w:val="24"/>
                <w:szCs w:val="24"/>
              </w:rPr>
              <w:t>Atbilde</w:t>
            </w:r>
            <w:r w:rsidR="00184EE3" w:rsidRPr="00184EE3">
              <w:rPr>
                <w:rFonts w:ascii="Times New Roman" w:hAnsi="Times New Roman"/>
                <w:b/>
                <w:sz w:val="24"/>
                <w:szCs w:val="24"/>
              </w:rPr>
              <w:t xml:space="preserve"> </w:t>
            </w:r>
            <w:r w:rsidR="00184EE3" w:rsidRPr="00184EE3">
              <w:rPr>
                <w:rFonts w:ascii="Times New Roman" w:hAnsi="Times New Roman"/>
                <w:i/>
                <w:color w:val="FF0000"/>
                <w:sz w:val="24"/>
                <w:szCs w:val="24"/>
              </w:rPr>
              <w:t>(papildināta 1</w:t>
            </w:r>
            <w:r w:rsidR="008F710B">
              <w:rPr>
                <w:rFonts w:ascii="Times New Roman" w:hAnsi="Times New Roman"/>
                <w:i/>
                <w:color w:val="FF0000"/>
                <w:sz w:val="24"/>
                <w:szCs w:val="24"/>
              </w:rPr>
              <w:t>1</w:t>
            </w:r>
            <w:r w:rsidR="00184EE3" w:rsidRPr="00184EE3">
              <w:rPr>
                <w:rFonts w:ascii="Times New Roman" w:hAnsi="Times New Roman"/>
                <w:i/>
                <w:color w:val="FF0000"/>
                <w:sz w:val="24"/>
                <w:szCs w:val="24"/>
              </w:rPr>
              <w:t>.10.2018.)</w:t>
            </w:r>
            <w:r w:rsidRPr="00184EE3">
              <w:rPr>
                <w:rFonts w:ascii="Times New Roman" w:hAnsi="Times New Roman"/>
                <w:b/>
                <w:color w:val="FF0000"/>
                <w:sz w:val="24"/>
                <w:szCs w:val="24"/>
              </w:rPr>
              <w:t>:</w:t>
            </w:r>
            <w:r w:rsidRPr="00184EE3">
              <w:rPr>
                <w:rFonts w:ascii="Times New Roman" w:hAnsi="Times New Roman"/>
                <w:color w:val="FF0000"/>
                <w:sz w:val="24"/>
                <w:szCs w:val="24"/>
              </w:rPr>
              <w:t xml:space="preserve"> </w:t>
            </w:r>
            <w:r w:rsidR="00184EE3" w:rsidRPr="0082323F">
              <w:rPr>
                <w:rFonts w:ascii="Times New Roman" w:hAnsi="Times New Roman"/>
                <w:sz w:val="24"/>
                <w:szCs w:val="24"/>
              </w:rPr>
              <w:t xml:space="preserve">Skaidrojam, ka MK noteikumu ietvaros finansējums 2021.-2027.gada plānošanas perioda plānošanai nav piešķirts. Atbilstoši anotācijā norādītajai informācijai šobrīd finansējums paredzēts tikai 2014.-2020.gada plānošanas periodam, līdz ar to šobrīd nebūtu atbalstāmas darbības, kas saistītas ar 2021.-2027.gada plānošanas periodu (par projekta līdzekļiem organizētajos semināros, konferencēs utt. var vispārīgi informēt par nākamo plānošanas periodu, t.sk. piedalīties semināros kuru darba kārtībā ir jautājumi par jauno periodu) pilna cikla plānošanas izpratnē (nākamā plānošanas perioda dokumentu izstrādi </w:t>
            </w:r>
            <w:proofErr w:type="spellStart"/>
            <w:r w:rsidR="00184EE3" w:rsidRPr="0082323F">
              <w:rPr>
                <w:rFonts w:ascii="Times New Roman" w:hAnsi="Times New Roman"/>
                <w:sz w:val="24"/>
                <w:szCs w:val="24"/>
              </w:rPr>
              <w:t>u.c</w:t>
            </w:r>
            <w:proofErr w:type="spellEnd"/>
            <w:r w:rsidR="00184EE3" w:rsidRPr="0082323F">
              <w:rPr>
                <w:rFonts w:ascii="Times New Roman" w:hAnsi="Times New Roman"/>
                <w:sz w:val="24"/>
                <w:szCs w:val="24"/>
              </w:rPr>
              <w:t>), ņemot vērā to, ka šobrīd nav skaidri virzieni un nostādnes jaunā perioda plānošanai un veicamajām funkcijām dalījumā pa nozarēm. Tomēr, ja kādam finansējuma saņēmējam būs radušies pamatoti izdevumi jau šajā brīdī (projekta 1. gada īstenošanas laikā) saistībā ar 2021.-2027.gada plānošanas perioda plānošanu, radušās izmaksas var būt attiecināmas zem ES fondu plānošanas.</w:t>
            </w:r>
          </w:p>
          <w:p w:rsidR="00664090" w:rsidRPr="00184EE3" w:rsidRDefault="00912B9A" w:rsidP="00595D91">
            <w:pPr>
              <w:jc w:val="both"/>
              <w:rPr>
                <w:rFonts w:ascii="Times New Roman" w:hAnsi="Times New Roman"/>
                <w:sz w:val="24"/>
                <w:szCs w:val="24"/>
              </w:rPr>
            </w:pPr>
            <w:r w:rsidRPr="00184EE3">
              <w:rPr>
                <w:rFonts w:ascii="Times New Roman" w:hAnsi="Times New Roman"/>
                <w:sz w:val="24"/>
                <w:szCs w:val="24"/>
              </w:rPr>
              <w:t>Taču norādām, ka 2019.gadā, kad tiks veikta TP 2.kārtas resursu palielināšana, tikai tad tiks vērtēta finansējuma rezerves sadale saistībā ar papildu uzdevumu veikšanu attiecībā uz 2021.-2027.gada plānošanas perioda plānošanu.</w:t>
            </w:r>
          </w:p>
        </w:tc>
      </w:tr>
      <w:tr w:rsidR="00184EE3" w:rsidRPr="00C31E22" w:rsidTr="00CD1BFE">
        <w:tc>
          <w:tcPr>
            <w:tcW w:w="10632" w:type="dxa"/>
            <w:tcBorders>
              <w:top w:val="single" w:sz="4" w:space="0" w:color="auto"/>
              <w:left w:val="nil"/>
              <w:bottom w:val="single" w:sz="4" w:space="0" w:color="auto"/>
              <w:right w:val="nil"/>
            </w:tcBorders>
            <w:shd w:val="clear" w:color="auto" w:fill="auto"/>
          </w:tcPr>
          <w:p w:rsidR="00184EE3" w:rsidRPr="007D4739" w:rsidRDefault="00184EE3" w:rsidP="009C6A07">
            <w:pPr>
              <w:jc w:val="both"/>
              <w:rPr>
                <w:rFonts w:ascii="Times New Roman" w:hAnsi="Times New Roman"/>
                <w:b/>
                <w:sz w:val="24"/>
                <w:szCs w:val="24"/>
              </w:rPr>
            </w:pPr>
          </w:p>
        </w:tc>
      </w:tr>
      <w:tr w:rsidR="00092096" w:rsidRPr="00092096" w:rsidTr="00CD1BFE">
        <w:tc>
          <w:tcPr>
            <w:tcW w:w="10632" w:type="dxa"/>
            <w:tcBorders>
              <w:top w:val="single" w:sz="4" w:space="0" w:color="auto"/>
            </w:tcBorders>
            <w:shd w:val="clear" w:color="auto" w:fill="D9D9D9" w:themeFill="background1" w:themeFillShade="D9"/>
          </w:tcPr>
          <w:p w:rsidR="00664090" w:rsidRPr="00092096" w:rsidRDefault="009C6A07" w:rsidP="00092096">
            <w:pPr>
              <w:pStyle w:val="ListParagraph"/>
              <w:numPr>
                <w:ilvl w:val="0"/>
                <w:numId w:val="11"/>
              </w:numPr>
              <w:ind w:left="317"/>
              <w:jc w:val="both"/>
            </w:pPr>
            <w:r w:rsidRPr="00092096">
              <w:rPr>
                <w:b/>
              </w:rPr>
              <w:t>Jautājums:</w:t>
            </w:r>
            <w:r w:rsidRPr="00092096">
              <w:t xml:space="preserve"> Ņemot vērā, ka projektu iesnieguma veidlapas aizpi</w:t>
            </w:r>
            <w:r w:rsidR="00995C8C">
              <w:t>ldīšanas metodikā norādīts, ka “</w:t>
            </w:r>
            <w:r w:rsidRPr="00092096">
              <w:t>par projekta īstenošanas sākumu uzskatāms plānotais vienošanās par projekta īstenošanu parakstīšanas laiks”, lūdzam informēt, indikatīvi kādu projekta parakstīšanas termiņu projektā plānot.</w:t>
            </w:r>
          </w:p>
        </w:tc>
      </w:tr>
      <w:tr w:rsidR="009C6A07" w:rsidRPr="009C6A07" w:rsidTr="00CD1BFE">
        <w:tc>
          <w:tcPr>
            <w:tcW w:w="10632" w:type="dxa"/>
            <w:tcBorders>
              <w:bottom w:val="single" w:sz="4" w:space="0" w:color="auto"/>
            </w:tcBorders>
            <w:shd w:val="clear" w:color="auto" w:fill="auto"/>
          </w:tcPr>
          <w:p w:rsidR="009C6A07" w:rsidRPr="009C6A07" w:rsidRDefault="009C6A07" w:rsidP="009B2768">
            <w:pPr>
              <w:jc w:val="both"/>
              <w:rPr>
                <w:b/>
              </w:rPr>
            </w:pPr>
            <w:r w:rsidRPr="007D4739">
              <w:rPr>
                <w:rFonts w:ascii="Times New Roman" w:hAnsi="Times New Roman"/>
                <w:b/>
                <w:sz w:val="24"/>
                <w:szCs w:val="24"/>
              </w:rPr>
              <w:t>Atbilde:</w:t>
            </w:r>
            <w:r w:rsidRPr="007D4739">
              <w:rPr>
                <w:rFonts w:ascii="Times New Roman" w:hAnsi="Times New Roman"/>
                <w:sz w:val="24"/>
                <w:szCs w:val="24"/>
              </w:rPr>
              <w:t xml:space="preserve"> </w:t>
            </w:r>
            <w:r w:rsidRPr="009C6A07">
              <w:rPr>
                <w:rFonts w:ascii="Times New Roman" w:hAnsi="Times New Roman" w:cs="Times New Roman"/>
                <w:sz w:val="24"/>
                <w:szCs w:val="24"/>
              </w:rPr>
              <w:t>Plānots, ka vienošanās par projekta īstenošanu tiks noslēgta šī gada decembrī. Norādām, ka atbilstoši MK noteikumu 53.punktam projektu īsteno no 2019.gada 1.janvāra līdz 2021.gada 31.decembrim, bet ņemot vērā, ka vienošanās par projekta īstenošanu noslēgšana plānota 2018.gada decembrī</w:t>
            </w:r>
            <w:r w:rsidR="009B2768">
              <w:rPr>
                <w:rFonts w:ascii="Times New Roman" w:hAnsi="Times New Roman" w:cs="Times New Roman"/>
                <w:sz w:val="24"/>
                <w:szCs w:val="24"/>
              </w:rPr>
              <w:t>,</w:t>
            </w:r>
            <w:r w:rsidRPr="009C6A07">
              <w:rPr>
                <w:rFonts w:ascii="Times New Roman" w:hAnsi="Times New Roman" w:cs="Times New Roman"/>
                <w:sz w:val="24"/>
                <w:szCs w:val="24"/>
              </w:rPr>
              <w:t xml:space="preserve"> tad projekta iesnieguma 1.pielikumā “Projekta īstenošanas laika grafiks” kā indikatīvais projekta apstiprināšanas ceturksnis (vienošanās noslēgšanas ceturksnis) jānorāda 2018.gada 4.ceturksnis un tas jāatzīmē ar “X”, bet projekta iesnieguma 2.pielikumā “Finansēšanas plāns” projekta finansējumu jāplāno no 2019.gada. Šādā gadījumā projekta īstenošanas termiņš ir 37 mēneši, kas arī jānorāda projekta iesnieguma 2.3.punktā.</w:t>
            </w:r>
          </w:p>
        </w:tc>
      </w:tr>
      <w:tr w:rsidR="00976405" w:rsidRPr="009C6A07" w:rsidTr="00CD1BFE">
        <w:tc>
          <w:tcPr>
            <w:tcW w:w="10632" w:type="dxa"/>
            <w:tcBorders>
              <w:top w:val="single" w:sz="4" w:space="0" w:color="auto"/>
              <w:left w:val="nil"/>
              <w:bottom w:val="single" w:sz="4" w:space="0" w:color="auto"/>
              <w:right w:val="nil"/>
            </w:tcBorders>
            <w:shd w:val="clear" w:color="auto" w:fill="auto"/>
          </w:tcPr>
          <w:p w:rsidR="00976405" w:rsidRPr="007D4739" w:rsidRDefault="00976405" w:rsidP="009B2768">
            <w:pPr>
              <w:jc w:val="both"/>
              <w:rPr>
                <w:rFonts w:ascii="Times New Roman" w:hAnsi="Times New Roman"/>
                <w:b/>
                <w:sz w:val="24"/>
                <w:szCs w:val="24"/>
              </w:rPr>
            </w:pPr>
          </w:p>
        </w:tc>
      </w:tr>
      <w:tr w:rsidR="009C6A07" w:rsidRPr="009B2768" w:rsidTr="00CD1BFE">
        <w:tc>
          <w:tcPr>
            <w:tcW w:w="10632" w:type="dxa"/>
            <w:tcBorders>
              <w:top w:val="single" w:sz="4" w:space="0" w:color="auto"/>
            </w:tcBorders>
            <w:shd w:val="clear" w:color="auto" w:fill="D9D9D9" w:themeFill="background1" w:themeFillShade="D9"/>
          </w:tcPr>
          <w:p w:rsidR="009C6A07" w:rsidRPr="009B2768" w:rsidRDefault="009B2768" w:rsidP="00976405">
            <w:pPr>
              <w:pStyle w:val="ListParagraph"/>
              <w:numPr>
                <w:ilvl w:val="0"/>
                <w:numId w:val="11"/>
              </w:numPr>
              <w:ind w:left="317"/>
              <w:rPr>
                <w:b/>
              </w:rPr>
            </w:pPr>
            <w:r w:rsidRPr="009B2768">
              <w:rPr>
                <w:b/>
              </w:rPr>
              <w:t xml:space="preserve">Jautājums: </w:t>
            </w:r>
            <w:r w:rsidRPr="009B2768">
              <w:rPr>
                <w:color w:val="000000"/>
              </w:rPr>
              <w:t>Vai projekta iesnieguma 1.5. sadaļā kā atsevišķa darbība ar konkrētiem sasniedzamiem rezultātiem ir jānorāda projekta vadība?</w:t>
            </w:r>
          </w:p>
        </w:tc>
      </w:tr>
      <w:tr w:rsidR="009B2768" w:rsidRPr="002D622B" w:rsidTr="00CD1BFE">
        <w:trPr>
          <w:trHeight w:val="908"/>
        </w:trPr>
        <w:tc>
          <w:tcPr>
            <w:tcW w:w="10632" w:type="dxa"/>
            <w:tcBorders>
              <w:bottom w:val="single" w:sz="4" w:space="0" w:color="auto"/>
            </w:tcBorders>
            <w:shd w:val="clear" w:color="auto" w:fill="FFFFFF" w:themeFill="background1"/>
          </w:tcPr>
          <w:p w:rsidR="009B2768" w:rsidRDefault="009B2768" w:rsidP="002A2233">
            <w:pPr>
              <w:jc w:val="both"/>
              <w:rPr>
                <w:b/>
              </w:rPr>
            </w:pPr>
            <w:r w:rsidRPr="009B2768">
              <w:rPr>
                <w:rFonts w:ascii="Times New Roman" w:hAnsi="Times New Roman" w:cs="Times New Roman"/>
                <w:b/>
                <w:sz w:val="24"/>
                <w:szCs w:val="24"/>
              </w:rPr>
              <w:t xml:space="preserve">Atbilde: </w:t>
            </w:r>
            <w:r w:rsidRPr="009B2768">
              <w:rPr>
                <w:rFonts w:ascii="Times New Roman" w:hAnsi="Times New Roman" w:cs="Times New Roman"/>
                <w:sz w:val="24"/>
                <w:szCs w:val="24"/>
              </w:rPr>
              <w:t>Projekta iesnieguma 1.5.punktā norāda projekta darbības, kurām projekta budžetā paredzētas izmaksas, ja projekta vadībai izmaksas budžetā nav plānotas, tad šādu darbību atsevišķi projekta 1.5.punktā nav jānorāda.</w:t>
            </w:r>
          </w:p>
        </w:tc>
      </w:tr>
      <w:tr w:rsidR="00976405" w:rsidRPr="002D622B" w:rsidTr="00CD1BFE">
        <w:trPr>
          <w:trHeight w:val="70"/>
        </w:trPr>
        <w:tc>
          <w:tcPr>
            <w:tcW w:w="10632" w:type="dxa"/>
            <w:tcBorders>
              <w:top w:val="single" w:sz="4" w:space="0" w:color="auto"/>
              <w:left w:val="nil"/>
              <w:bottom w:val="single" w:sz="4" w:space="0" w:color="auto"/>
              <w:right w:val="nil"/>
            </w:tcBorders>
            <w:shd w:val="clear" w:color="auto" w:fill="FFFFFF" w:themeFill="background1"/>
          </w:tcPr>
          <w:p w:rsidR="00976405" w:rsidRPr="009B2768" w:rsidRDefault="00976405" w:rsidP="002A2233">
            <w:pPr>
              <w:jc w:val="both"/>
              <w:rPr>
                <w:rFonts w:ascii="Times New Roman" w:hAnsi="Times New Roman" w:cs="Times New Roman"/>
                <w:b/>
                <w:sz w:val="24"/>
                <w:szCs w:val="24"/>
              </w:rPr>
            </w:pPr>
          </w:p>
        </w:tc>
      </w:tr>
      <w:tr w:rsidR="009B2768" w:rsidRPr="002D622B" w:rsidTr="00CD1BFE">
        <w:trPr>
          <w:trHeight w:val="569"/>
        </w:trPr>
        <w:tc>
          <w:tcPr>
            <w:tcW w:w="10632" w:type="dxa"/>
            <w:tcBorders>
              <w:top w:val="single" w:sz="4" w:space="0" w:color="auto"/>
            </w:tcBorders>
            <w:shd w:val="clear" w:color="auto" w:fill="D9D9D9" w:themeFill="background1" w:themeFillShade="D9"/>
          </w:tcPr>
          <w:p w:rsidR="009B2768" w:rsidRPr="009B2768" w:rsidRDefault="009B2768" w:rsidP="00976405">
            <w:pPr>
              <w:pStyle w:val="ListParagraph"/>
              <w:numPr>
                <w:ilvl w:val="0"/>
                <w:numId w:val="11"/>
              </w:numPr>
              <w:ind w:left="317"/>
              <w:rPr>
                <w:b/>
              </w:rPr>
            </w:pPr>
            <w:r>
              <w:rPr>
                <w:b/>
              </w:rPr>
              <w:t xml:space="preserve">Jautājums: </w:t>
            </w:r>
            <w:r w:rsidRPr="009B2768">
              <w:t>Kāda veida informācijai būtu jānorāda sadarbības partnera</w:t>
            </w:r>
            <w:r>
              <w:t xml:space="preserve"> </w:t>
            </w:r>
            <w:r w:rsidRPr="009B2768">
              <w:t>ap</w:t>
            </w:r>
            <w:r>
              <w:t>liecinājumā par dalību projektā?</w:t>
            </w:r>
          </w:p>
        </w:tc>
      </w:tr>
      <w:tr w:rsidR="006D42CA" w:rsidRPr="009B2768" w:rsidTr="00CD1BFE">
        <w:trPr>
          <w:trHeight w:val="964"/>
        </w:trPr>
        <w:tc>
          <w:tcPr>
            <w:tcW w:w="10632" w:type="dxa"/>
            <w:tcBorders>
              <w:bottom w:val="single" w:sz="4" w:space="0" w:color="auto"/>
            </w:tcBorders>
            <w:shd w:val="clear" w:color="auto" w:fill="FFFFFF" w:themeFill="background1"/>
          </w:tcPr>
          <w:p w:rsidR="009B2768" w:rsidRPr="009B2768" w:rsidRDefault="009B2768" w:rsidP="009B2768">
            <w:pPr>
              <w:jc w:val="both"/>
              <w:rPr>
                <w:rFonts w:ascii="Times New Roman" w:hAnsi="Times New Roman" w:cs="Times New Roman"/>
                <w:sz w:val="24"/>
                <w:szCs w:val="24"/>
              </w:rPr>
            </w:pPr>
            <w:r w:rsidRPr="009B2768">
              <w:rPr>
                <w:rFonts w:ascii="Times New Roman" w:hAnsi="Times New Roman" w:cs="Times New Roman"/>
                <w:b/>
                <w:sz w:val="24"/>
                <w:szCs w:val="24"/>
              </w:rPr>
              <w:t>Atbilde:</w:t>
            </w:r>
            <w:r w:rsidRPr="009B2768">
              <w:rPr>
                <w:rFonts w:ascii="Times New Roman" w:hAnsi="Times New Roman" w:cs="Times New Roman"/>
                <w:sz w:val="24"/>
                <w:szCs w:val="24"/>
              </w:rPr>
              <w:t xml:space="preserve"> Sadarbības partnera apliecinājumā jānorāda informācija, kuru projekta darbību īstenošanā sadarbības partneris iesaistīsies, kāda būs sadarbības partnera atbildība un kādus rezultātus sadarbības partneris plāno sasniegt. </w:t>
            </w:r>
          </w:p>
        </w:tc>
      </w:tr>
      <w:tr w:rsidR="00CB46AB" w:rsidRPr="009B2768" w:rsidTr="00CD1BFE">
        <w:trPr>
          <w:trHeight w:val="70"/>
        </w:trPr>
        <w:tc>
          <w:tcPr>
            <w:tcW w:w="10632" w:type="dxa"/>
            <w:tcBorders>
              <w:top w:val="single" w:sz="4" w:space="0" w:color="auto"/>
              <w:left w:val="nil"/>
              <w:bottom w:val="single" w:sz="4" w:space="0" w:color="auto"/>
              <w:right w:val="nil"/>
            </w:tcBorders>
            <w:shd w:val="clear" w:color="auto" w:fill="FFFFFF" w:themeFill="background1"/>
          </w:tcPr>
          <w:p w:rsidR="00CB46AB" w:rsidRPr="009B2768" w:rsidRDefault="00CB46AB" w:rsidP="009B2768">
            <w:pPr>
              <w:jc w:val="both"/>
              <w:rPr>
                <w:rFonts w:ascii="Times New Roman" w:hAnsi="Times New Roman" w:cs="Times New Roman"/>
                <w:b/>
                <w:sz w:val="24"/>
                <w:szCs w:val="24"/>
              </w:rPr>
            </w:pPr>
          </w:p>
        </w:tc>
      </w:tr>
      <w:tr w:rsidR="00690A99" w:rsidRPr="009B2768" w:rsidTr="00CD1BFE">
        <w:trPr>
          <w:trHeight w:val="964"/>
        </w:trPr>
        <w:tc>
          <w:tcPr>
            <w:tcW w:w="10632" w:type="dxa"/>
            <w:tcBorders>
              <w:top w:val="single" w:sz="4" w:space="0" w:color="auto"/>
            </w:tcBorders>
            <w:shd w:val="clear" w:color="auto" w:fill="D9D9D9" w:themeFill="background1" w:themeFillShade="D9"/>
          </w:tcPr>
          <w:p w:rsidR="00690A99" w:rsidRPr="00F36AEC" w:rsidRDefault="00690A99" w:rsidP="00CB46AB">
            <w:pPr>
              <w:pStyle w:val="ListParagraph"/>
              <w:numPr>
                <w:ilvl w:val="0"/>
                <w:numId w:val="11"/>
              </w:numPr>
              <w:ind w:left="317"/>
              <w:rPr>
                <w:b/>
              </w:rPr>
            </w:pPr>
            <w:r>
              <w:rPr>
                <w:b/>
              </w:rPr>
              <w:t xml:space="preserve">Jautājums: </w:t>
            </w:r>
            <w:r w:rsidR="00F36AEC" w:rsidRPr="00F36AEC">
              <w:t>Ko</w:t>
            </w:r>
            <w:r w:rsidRPr="00F36AEC">
              <w:t xml:space="preserve"> saprot ar projekta mērķa grupu - tikai tos darbiniekus, kas reāli gūst labumu </w:t>
            </w:r>
            <w:r w:rsidR="00F36AEC" w:rsidRPr="00F36AEC">
              <w:t xml:space="preserve">no projekta/ piedalās projektā, vai arī darbiniekus, kas </w:t>
            </w:r>
            <w:r w:rsidRPr="00F36AEC">
              <w:t xml:space="preserve">pastarpināti ir </w:t>
            </w:r>
            <w:r w:rsidR="00F36AEC" w:rsidRPr="00F36AEC">
              <w:t>iesaistīti, piemēram,</w:t>
            </w:r>
            <w:r w:rsidRPr="00F36AEC">
              <w:t xml:space="preserve"> projektu iesniegumu sagatavošanas un ieviešanas procesā?</w:t>
            </w:r>
          </w:p>
        </w:tc>
      </w:tr>
      <w:tr w:rsidR="00690A99" w:rsidRPr="009B2768" w:rsidTr="00CD1BFE">
        <w:trPr>
          <w:trHeight w:val="557"/>
        </w:trPr>
        <w:tc>
          <w:tcPr>
            <w:tcW w:w="10632" w:type="dxa"/>
            <w:tcBorders>
              <w:bottom w:val="single" w:sz="4" w:space="0" w:color="auto"/>
            </w:tcBorders>
            <w:shd w:val="clear" w:color="auto" w:fill="FFFFFF" w:themeFill="background1"/>
          </w:tcPr>
          <w:p w:rsidR="00F36AEC" w:rsidRPr="002A2233" w:rsidRDefault="00F36AEC" w:rsidP="002A2233">
            <w:pPr>
              <w:shd w:val="clear" w:color="auto" w:fill="FFFFFF" w:themeFill="background1"/>
              <w:jc w:val="both"/>
              <w:rPr>
                <w:rFonts w:ascii="Times New Roman" w:hAnsi="Times New Roman" w:cs="Times New Roman"/>
                <w:sz w:val="24"/>
                <w:szCs w:val="24"/>
              </w:rPr>
            </w:pPr>
            <w:r w:rsidRPr="000E16C1">
              <w:rPr>
                <w:rFonts w:ascii="Times New Roman" w:hAnsi="Times New Roman" w:cs="Times New Roman"/>
                <w:b/>
                <w:sz w:val="24"/>
                <w:szCs w:val="24"/>
              </w:rPr>
              <w:t xml:space="preserve">Atbilde: </w:t>
            </w:r>
            <w:r w:rsidRPr="000E16C1">
              <w:rPr>
                <w:rFonts w:ascii="Times New Roman" w:hAnsi="Times New Roman" w:cs="Times New Roman"/>
                <w:sz w:val="24"/>
                <w:szCs w:val="24"/>
              </w:rPr>
              <w:t xml:space="preserve">Atbilstoši MK noteikumu 3.punktam Eiropas Savienības fondu tehniskās palīdzības atbalsta mērķa </w:t>
            </w:r>
            <w:r w:rsidRPr="002A2233">
              <w:rPr>
                <w:rFonts w:ascii="Times New Roman" w:hAnsi="Times New Roman" w:cs="Times New Roman"/>
                <w:sz w:val="24"/>
                <w:szCs w:val="24"/>
              </w:rPr>
              <w:t>grupa ir Eiropas Savienības fondu vadībā iesaistītās valsts pārvaldes iestādes, sadarbības partneri, sociālie partneri, biedrības un nodibinājumi, kā arī Iepirkumu uzraudzības birojs un republikas pilsētu pašvaldības.</w:t>
            </w:r>
          </w:p>
          <w:p w:rsidR="00690A99" w:rsidRPr="009B2768" w:rsidRDefault="00F36AEC" w:rsidP="002A2233">
            <w:pPr>
              <w:shd w:val="clear" w:color="auto" w:fill="FFFFFF" w:themeFill="background1"/>
              <w:jc w:val="both"/>
              <w:rPr>
                <w:rFonts w:ascii="Times New Roman" w:hAnsi="Times New Roman" w:cs="Times New Roman"/>
                <w:b/>
                <w:sz w:val="24"/>
                <w:szCs w:val="24"/>
              </w:rPr>
            </w:pPr>
            <w:r w:rsidRPr="002A2233">
              <w:rPr>
                <w:rFonts w:ascii="Times New Roman" w:hAnsi="Times New Roman" w:cs="Times New Roman"/>
                <w:sz w:val="24"/>
                <w:szCs w:val="24"/>
              </w:rPr>
              <w:t>Pie mērķa grupas apraksta jānorāda sīkāk, kas tad precīzāk ir šī mērķa grupa (piemēram, mērķa grupa ir X pašvaldība/ministrija/nodibinājums utt. un tās darbinieki, kas nodrošina</w:t>
            </w:r>
            <w:r w:rsidR="00BA7E59">
              <w:rPr>
                <w:rFonts w:ascii="Times New Roman" w:hAnsi="Times New Roman" w:cs="Times New Roman"/>
                <w:sz w:val="24"/>
                <w:szCs w:val="24"/>
              </w:rPr>
              <w:t xml:space="preserve"> MK noteikumos minēto konkrētā </w:t>
            </w:r>
            <w:r w:rsidRPr="002A2233">
              <w:rPr>
                <w:rFonts w:ascii="Times New Roman" w:hAnsi="Times New Roman" w:cs="Times New Roman"/>
                <w:sz w:val="24"/>
                <w:szCs w:val="24"/>
              </w:rPr>
              <w:t xml:space="preserve">AM </w:t>
            </w:r>
            <w:r w:rsidRPr="002A2233">
              <w:rPr>
                <w:rFonts w:ascii="Times New Roman" w:hAnsi="Times New Roman" w:cs="Times New Roman"/>
                <w:sz w:val="24"/>
                <w:szCs w:val="24"/>
              </w:rPr>
              <w:lastRenderedPageBreak/>
              <w:t>atbalstāmo darbību</w:t>
            </w:r>
            <w:r w:rsidRPr="000E16C1">
              <w:rPr>
                <w:rFonts w:ascii="Times New Roman" w:hAnsi="Times New Roman" w:cs="Times New Roman"/>
                <w:sz w:val="24"/>
                <w:szCs w:val="24"/>
              </w:rPr>
              <w:t xml:space="preserve"> īstenošanu). Tehniskās palīdzības projektu gadījumā mērķa grupā ir darbinieki, kam projekta ietvaros tiek maksāts atalgojums.</w:t>
            </w:r>
          </w:p>
        </w:tc>
      </w:tr>
      <w:tr w:rsidR="00CB46AB" w:rsidRPr="009B2768" w:rsidTr="00CD1BFE">
        <w:trPr>
          <w:trHeight w:val="70"/>
        </w:trPr>
        <w:tc>
          <w:tcPr>
            <w:tcW w:w="10632" w:type="dxa"/>
            <w:tcBorders>
              <w:top w:val="single" w:sz="4" w:space="0" w:color="auto"/>
              <w:left w:val="nil"/>
              <w:bottom w:val="single" w:sz="4" w:space="0" w:color="auto"/>
              <w:right w:val="nil"/>
            </w:tcBorders>
            <w:shd w:val="clear" w:color="auto" w:fill="FFFFFF" w:themeFill="background1"/>
          </w:tcPr>
          <w:p w:rsidR="00CB46AB" w:rsidRPr="000E16C1" w:rsidRDefault="00CB46AB" w:rsidP="002A2233">
            <w:pPr>
              <w:shd w:val="clear" w:color="auto" w:fill="FFFFFF" w:themeFill="background1"/>
              <w:jc w:val="both"/>
              <w:rPr>
                <w:rFonts w:ascii="Times New Roman" w:hAnsi="Times New Roman" w:cs="Times New Roman"/>
                <w:b/>
                <w:sz w:val="24"/>
                <w:szCs w:val="24"/>
              </w:rPr>
            </w:pPr>
          </w:p>
        </w:tc>
      </w:tr>
      <w:tr w:rsidR="00690A99" w:rsidRPr="009B2768" w:rsidTr="00CD1BFE">
        <w:trPr>
          <w:trHeight w:val="491"/>
        </w:trPr>
        <w:tc>
          <w:tcPr>
            <w:tcW w:w="10632" w:type="dxa"/>
            <w:tcBorders>
              <w:top w:val="single" w:sz="4" w:space="0" w:color="auto"/>
            </w:tcBorders>
            <w:shd w:val="clear" w:color="auto" w:fill="D9D9D9" w:themeFill="background1" w:themeFillShade="D9"/>
          </w:tcPr>
          <w:p w:rsidR="00690A99" w:rsidRPr="000E16C1" w:rsidRDefault="000E16C1" w:rsidP="00CB46AB">
            <w:pPr>
              <w:pStyle w:val="ListParagraph"/>
              <w:numPr>
                <w:ilvl w:val="0"/>
                <w:numId w:val="11"/>
              </w:numPr>
              <w:ind w:left="317"/>
              <w:jc w:val="both"/>
              <w:rPr>
                <w:b/>
              </w:rPr>
            </w:pPr>
            <w:r>
              <w:rPr>
                <w:b/>
              </w:rPr>
              <w:t xml:space="preserve">Jautājums: </w:t>
            </w:r>
            <w:r>
              <w:t>Kas tieši jāraksta ailē pie projekta īstenošanas vietas apraksta (projekta iesnieguma 1.7.punkts “Projekta īstenošanas vieta”)?</w:t>
            </w:r>
          </w:p>
        </w:tc>
      </w:tr>
      <w:tr w:rsidR="00315625" w:rsidRPr="00315625" w:rsidTr="00CD1BFE">
        <w:trPr>
          <w:trHeight w:val="491"/>
        </w:trPr>
        <w:tc>
          <w:tcPr>
            <w:tcW w:w="10632" w:type="dxa"/>
            <w:tcBorders>
              <w:bottom w:val="single" w:sz="4" w:space="0" w:color="auto"/>
            </w:tcBorders>
            <w:shd w:val="clear" w:color="auto" w:fill="FFFFFF" w:themeFill="background1"/>
          </w:tcPr>
          <w:p w:rsidR="000E16C1" w:rsidRDefault="000E16C1" w:rsidP="00156373">
            <w:pPr>
              <w:jc w:val="both"/>
              <w:rPr>
                <w:rFonts w:ascii="Times New Roman" w:hAnsi="Times New Roman" w:cs="Times New Roman"/>
                <w:sz w:val="24"/>
                <w:szCs w:val="24"/>
              </w:rPr>
            </w:pPr>
            <w:r w:rsidRPr="00315625">
              <w:rPr>
                <w:rFonts w:ascii="Times New Roman" w:hAnsi="Times New Roman" w:cs="Times New Roman"/>
                <w:b/>
                <w:sz w:val="24"/>
                <w:szCs w:val="24"/>
              </w:rPr>
              <w:t xml:space="preserve">Atbilde: </w:t>
            </w:r>
            <w:r w:rsidRPr="00315625">
              <w:rPr>
                <w:rFonts w:ascii="Times New Roman" w:hAnsi="Times New Roman" w:cs="Times New Roman"/>
                <w:sz w:val="24"/>
                <w:szCs w:val="24"/>
              </w:rPr>
              <w:t xml:space="preserve">Projekta iesnieguma 1.7.punktā “Projekta īstenošanas vieta”  KP VIS pie projekta īstenošanas </w:t>
            </w:r>
            <w:r w:rsidR="00315625" w:rsidRPr="00315625">
              <w:rPr>
                <w:rFonts w:ascii="Times New Roman" w:hAnsi="Times New Roman" w:cs="Times New Roman"/>
                <w:sz w:val="24"/>
                <w:szCs w:val="24"/>
              </w:rPr>
              <w:t>vietas atzīmē “Visa Latvija”, ja īstenotais projekts aptver visu Latviju, vai konkrētu projekta īstenošanas adresi. Piemēram, ja finansējuma saņēmējs ir pašvaldība,  norāda ēkas</w:t>
            </w:r>
            <w:r w:rsidRPr="00315625">
              <w:rPr>
                <w:rFonts w:ascii="Times New Roman" w:hAnsi="Times New Roman" w:cs="Times New Roman"/>
                <w:sz w:val="24"/>
                <w:szCs w:val="24"/>
              </w:rPr>
              <w:t xml:space="preserve"> adresi, kurā </w:t>
            </w:r>
            <w:r w:rsidR="00315625" w:rsidRPr="00315625">
              <w:rPr>
                <w:rFonts w:ascii="Times New Roman" w:hAnsi="Times New Roman" w:cs="Times New Roman"/>
                <w:sz w:val="24"/>
                <w:szCs w:val="24"/>
              </w:rPr>
              <w:t>faktiski</w:t>
            </w:r>
            <w:r w:rsidRPr="00315625">
              <w:rPr>
                <w:rFonts w:ascii="Times New Roman" w:hAnsi="Times New Roman" w:cs="Times New Roman"/>
                <w:sz w:val="24"/>
                <w:szCs w:val="24"/>
              </w:rPr>
              <w:t xml:space="preserve"> </w:t>
            </w:r>
            <w:r w:rsidR="00315625" w:rsidRPr="00315625">
              <w:rPr>
                <w:rFonts w:ascii="Times New Roman" w:hAnsi="Times New Roman" w:cs="Times New Roman"/>
                <w:sz w:val="24"/>
                <w:szCs w:val="24"/>
              </w:rPr>
              <w:t xml:space="preserve">notiek projekta īstenošana (piemēram, ēku, kurā atrodas </w:t>
            </w:r>
            <w:r w:rsidRPr="00315625">
              <w:rPr>
                <w:rFonts w:ascii="Times New Roman" w:hAnsi="Times New Roman" w:cs="Times New Roman"/>
                <w:sz w:val="24"/>
                <w:szCs w:val="24"/>
              </w:rPr>
              <w:t>vērtēšanas komisija, vai to adresi, kurā t</w:t>
            </w:r>
            <w:r w:rsidR="00315625" w:rsidRPr="00315625">
              <w:rPr>
                <w:rFonts w:ascii="Times New Roman" w:hAnsi="Times New Roman" w:cs="Times New Roman"/>
                <w:sz w:val="24"/>
                <w:szCs w:val="24"/>
              </w:rPr>
              <w:t xml:space="preserve">iek nodrošināts atlases process), </w:t>
            </w:r>
            <w:r w:rsidR="00315625">
              <w:rPr>
                <w:rFonts w:ascii="Times New Roman" w:hAnsi="Times New Roman" w:cs="Times New Roman"/>
                <w:sz w:val="24"/>
                <w:szCs w:val="24"/>
              </w:rPr>
              <w:t>šādā</w:t>
            </w:r>
            <w:r w:rsidR="00315625" w:rsidRPr="00315625">
              <w:rPr>
                <w:rFonts w:ascii="Times New Roman" w:hAnsi="Times New Roman" w:cs="Times New Roman"/>
                <w:sz w:val="24"/>
                <w:szCs w:val="24"/>
              </w:rPr>
              <w:t xml:space="preserve"> gadījumā ailē</w:t>
            </w:r>
            <w:r w:rsidRPr="00315625">
              <w:rPr>
                <w:rFonts w:ascii="Times New Roman" w:hAnsi="Times New Roman" w:cs="Times New Roman"/>
                <w:sz w:val="24"/>
                <w:szCs w:val="24"/>
              </w:rPr>
              <w:t xml:space="preserve"> “Projekta īstenošanas v</w:t>
            </w:r>
            <w:r w:rsidR="00315625" w:rsidRPr="00315625">
              <w:rPr>
                <w:rFonts w:ascii="Times New Roman" w:hAnsi="Times New Roman" w:cs="Times New Roman"/>
                <w:sz w:val="24"/>
                <w:szCs w:val="24"/>
              </w:rPr>
              <w:t>ietas apraksts” var</w:t>
            </w:r>
            <w:r w:rsidRPr="00315625">
              <w:rPr>
                <w:rFonts w:ascii="Times New Roman" w:hAnsi="Times New Roman" w:cs="Times New Roman"/>
                <w:sz w:val="24"/>
                <w:szCs w:val="24"/>
              </w:rPr>
              <w:t xml:space="preserve"> norādīt</w:t>
            </w:r>
            <w:r w:rsidR="00315625">
              <w:rPr>
                <w:rFonts w:ascii="Times New Roman" w:hAnsi="Times New Roman" w:cs="Times New Roman"/>
                <w:sz w:val="24"/>
                <w:szCs w:val="24"/>
              </w:rPr>
              <w:t xml:space="preserve"> </w:t>
            </w:r>
            <w:r w:rsidR="00315625" w:rsidRPr="00315625">
              <w:rPr>
                <w:rFonts w:ascii="Times New Roman" w:hAnsi="Times New Roman" w:cs="Times New Roman"/>
                <w:sz w:val="24"/>
                <w:szCs w:val="24"/>
              </w:rPr>
              <w:t>p</w:t>
            </w:r>
            <w:r w:rsidR="00315625">
              <w:rPr>
                <w:rFonts w:ascii="Times New Roman" w:hAnsi="Times New Roman" w:cs="Times New Roman"/>
                <w:sz w:val="24"/>
                <w:szCs w:val="24"/>
              </w:rPr>
              <w:t>apildus informāciju</w:t>
            </w:r>
            <w:r w:rsidRPr="00315625">
              <w:rPr>
                <w:rFonts w:ascii="Times New Roman" w:hAnsi="Times New Roman" w:cs="Times New Roman"/>
                <w:sz w:val="24"/>
                <w:szCs w:val="24"/>
              </w:rPr>
              <w:t>, ka tā ir</w:t>
            </w:r>
            <w:r w:rsidR="00315625" w:rsidRPr="00315625">
              <w:rPr>
                <w:rFonts w:ascii="Times New Roman" w:hAnsi="Times New Roman" w:cs="Times New Roman"/>
                <w:sz w:val="24"/>
                <w:szCs w:val="24"/>
              </w:rPr>
              <w:t>, piemēram, p</w:t>
            </w:r>
            <w:r w:rsidRPr="00315625">
              <w:rPr>
                <w:rFonts w:ascii="Times New Roman" w:hAnsi="Times New Roman" w:cs="Times New Roman"/>
                <w:sz w:val="24"/>
                <w:szCs w:val="24"/>
              </w:rPr>
              <w:t>ašvaldības domes ēka.</w:t>
            </w:r>
          </w:p>
          <w:p w:rsidR="002B7954" w:rsidRPr="00315625" w:rsidRDefault="002B7954" w:rsidP="002B7954">
            <w:pPr>
              <w:jc w:val="both"/>
              <w:rPr>
                <w:rFonts w:ascii="Times New Roman" w:hAnsi="Times New Roman" w:cs="Times New Roman"/>
                <w:b/>
                <w:sz w:val="24"/>
                <w:szCs w:val="24"/>
              </w:rPr>
            </w:pPr>
            <w:r w:rsidRPr="002B7954">
              <w:rPr>
                <w:rFonts w:ascii="Times New Roman" w:hAnsi="Times New Roman" w:cs="Times New Roman"/>
                <w:sz w:val="24"/>
                <w:szCs w:val="24"/>
              </w:rPr>
              <w:t xml:space="preserve">Ja projektā plānotās darbības tiek īstenotas </w:t>
            </w:r>
            <w:r>
              <w:rPr>
                <w:rFonts w:ascii="Times New Roman" w:hAnsi="Times New Roman" w:cs="Times New Roman"/>
                <w:sz w:val="24"/>
                <w:szCs w:val="24"/>
              </w:rPr>
              <w:t>vairākās vietās</w:t>
            </w:r>
            <w:r w:rsidRPr="002B7954">
              <w:rPr>
                <w:rFonts w:ascii="Times New Roman" w:hAnsi="Times New Roman" w:cs="Times New Roman"/>
                <w:sz w:val="24"/>
                <w:szCs w:val="24"/>
              </w:rPr>
              <w:t>, tad arī projekta īstenošanas vietas varat norādīt vairākas, pie īstenošanas vietas apraksta norādot, kādas darbības tiks īstenotas konkrētajā vietā.</w:t>
            </w:r>
          </w:p>
        </w:tc>
      </w:tr>
      <w:tr w:rsidR="00AA3898" w:rsidRPr="00315625" w:rsidTr="00CD1BFE">
        <w:trPr>
          <w:trHeight w:val="203"/>
        </w:trPr>
        <w:tc>
          <w:tcPr>
            <w:tcW w:w="10632" w:type="dxa"/>
            <w:tcBorders>
              <w:bottom w:val="single" w:sz="4" w:space="0" w:color="auto"/>
            </w:tcBorders>
            <w:shd w:val="clear" w:color="auto" w:fill="FFFFFF" w:themeFill="background1"/>
          </w:tcPr>
          <w:p w:rsidR="00AA3898" w:rsidRPr="00315625" w:rsidRDefault="00AA3898" w:rsidP="00156373">
            <w:pPr>
              <w:jc w:val="both"/>
              <w:rPr>
                <w:rFonts w:ascii="Times New Roman" w:hAnsi="Times New Roman" w:cs="Times New Roman"/>
                <w:b/>
                <w:sz w:val="24"/>
                <w:szCs w:val="24"/>
              </w:rPr>
            </w:pPr>
          </w:p>
        </w:tc>
      </w:tr>
      <w:tr w:rsidR="00315625" w:rsidRPr="00315625" w:rsidTr="00CD1BFE">
        <w:trPr>
          <w:trHeight w:val="491"/>
        </w:trPr>
        <w:tc>
          <w:tcPr>
            <w:tcW w:w="10632" w:type="dxa"/>
            <w:tcBorders>
              <w:top w:val="single" w:sz="4" w:space="0" w:color="auto"/>
            </w:tcBorders>
            <w:shd w:val="clear" w:color="auto" w:fill="D9D9D9" w:themeFill="background1" w:themeFillShade="D9"/>
          </w:tcPr>
          <w:p w:rsidR="00315625" w:rsidRPr="00315625" w:rsidRDefault="00315625" w:rsidP="00CB46AB">
            <w:pPr>
              <w:pStyle w:val="ListParagraph"/>
              <w:numPr>
                <w:ilvl w:val="0"/>
                <w:numId w:val="11"/>
              </w:numPr>
              <w:ind w:left="317"/>
              <w:jc w:val="both"/>
              <w:rPr>
                <w:b/>
              </w:rPr>
            </w:pPr>
            <w:r>
              <w:rPr>
                <w:b/>
              </w:rPr>
              <w:t xml:space="preserve">Jautājums </w:t>
            </w:r>
            <w:r>
              <w:t>Saskaņā ar projekta iesnieguma veidlapas aizpildīšanas metodiku projekta iesnieguma 2.1.punktā "Projekta īstenošanas kapacitāte" jāapraksta informācija par projekta īstenošanas personālu - vai atkal jāpārraksta tas pats, kas "Vadības kapacitāte"? Vai arī var atsaukties uz noteikto sadaļu?</w:t>
            </w:r>
          </w:p>
        </w:tc>
      </w:tr>
      <w:tr w:rsidR="00156373" w:rsidRPr="00156373" w:rsidTr="00CD1BFE">
        <w:trPr>
          <w:trHeight w:val="491"/>
        </w:trPr>
        <w:tc>
          <w:tcPr>
            <w:tcW w:w="10632" w:type="dxa"/>
            <w:tcBorders>
              <w:bottom w:val="single" w:sz="4" w:space="0" w:color="auto"/>
            </w:tcBorders>
            <w:shd w:val="clear" w:color="auto" w:fill="FFFFFF" w:themeFill="background1"/>
          </w:tcPr>
          <w:p w:rsidR="00315625" w:rsidRPr="00156373" w:rsidRDefault="00315625" w:rsidP="00156373">
            <w:pPr>
              <w:jc w:val="both"/>
              <w:rPr>
                <w:rFonts w:ascii="Times New Roman" w:hAnsi="Times New Roman" w:cs="Times New Roman"/>
                <w:b/>
                <w:sz w:val="24"/>
                <w:szCs w:val="24"/>
              </w:rPr>
            </w:pPr>
            <w:r w:rsidRPr="00156373">
              <w:rPr>
                <w:rFonts w:ascii="Times New Roman" w:hAnsi="Times New Roman" w:cs="Times New Roman"/>
                <w:b/>
                <w:sz w:val="24"/>
                <w:szCs w:val="24"/>
              </w:rPr>
              <w:t xml:space="preserve">Atbilde: </w:t>
            </w:r>
            <w:r w:rsidR="00AD6D80" w:rsidRPr="00156373">
              <w:rPr>
                <w:rFonts w:ascii="Times New Roman" w:hAnsi="Times New Roman" w:cs="Times New Roman"/>
                <w:sz w:val="24"/>
                <w:szCs w:val="24"/>
              </w:rPr>
              <w:t xml:space="preserve">Projekta īstenošanas personāls nav tas pats, kas projekta vadības personāls. Sadaļā “Vadības kapacitāte” apraksta to personālu, kas vadīs projektu un kuram atalgojums norādīts budžeta izmaksu pozīcijā Nr.2.1. (parasti projekta vadības personāls ir projekta vadītājs, kas nodrošina TP projekta darbību plānošanu, koordinēšanu un kontroli, un grāmatvedis, kas veic maksājumus, sagatavo maksājumu pieprasījumus </w:t>
            </w:r>
            <w:r w:rsidR="00156373" w:rsidRPr="00156373">
              <w:rPr>
                <w:rFonts w:ascii="Times New Roman" w:hAnsi="Times New Roman" w:cs="Times New Roman"/>
                <w:sz w:val="24"/>
                <w:szCs w:val="24"/>
              </w:rPr>
              <w:t>sadarbības iestādei</w:t>
            </w:r>
            <w:r w:rsidR="00AD6D80" w:rsidRPr="00156373">
              <w:rPr>
                <w:rFonts w:ascii="Times New Roman" w:hAnsi="Times New Roman" w:cs="Times New Roman"/>
                <w:sz w:val="24"/>
                <w:szCs w:val="24"/>
              </w:rPr>
              <w:t xml:space="preserve"> utt.). Sadaļā “Īstenošanas kapacitāte” apraksta to personālu, kas nodrošinās</w:t>
            </w:r>
            <w:r w:rsidR="00156373" w:rsidRPr="00156373">
              <w:rPr>
                <w:rFonts w:ascii="Times New Roman" w:hAnsi="Times New Roman" w:cs="Times New Roman"/>
                <w:sz w:val="24"/>
                <w:szCs w:val="24"/>
              </w:rPr>
              <w:t xml:space="preserve"> MK noteikumos minēto un projekta iesniegumā</w:t>
            </w:r>
            <w:r w:rsidR="00AD6D80" w:rsidRPr="00156373">
              <w:rPr>
                <w:rFonts w:ascii="Times New Roman" w:hAnsi="Times New Roman" w:cs="Times New Roman"/>
                <w:sz w:val="24"/>
                <w:szCs w:val="24"/>
              </w:rPr>
              <w:t xml:space="preserve"> norādīto darbību īstenošanu</w:t>
            </w:r>
            <w:r w:rsidR="00156373">
              <w:rPr>
                <w:rFonts w:ascii="Times New Roman" w:hAnsi="Times New Roman" w:cs="Times New Roman"/>
                <w:sz w:val="24"/>
                <w:szCs w:val="24"/>
              </w:rPr>
              <w:t xml:space="preserve"> un</w:t>
            </w:r>
            <w:r w:rsidR="00AD6D80" w:rsidRPr="00156373">
              <w:rPr>
                <w:rFonts w:ascii="Times New Roman" w:hAnsi="Times New Roman" w:cs="Times New Roman"/>
                <w:sz w:val="24"/>
                <w:szCs w:val="24"/>
              </w:rPr>
              <w:t xml:space="preserve"> kuram atalgojums </w:t>
            </w:r>
            <w:r w:rsidR="00156373" w:rsidRPr="00156373">
              <w:rPr>
                <w:rFonts w:ascii="Times New Roman" w:hAnsi="Times New Roman" w:cs="Times New Roman"/>
                <w:sz w:val="24"/>
                <w:szCs w:val="24"/>
              </w:rPr>
              <w:t>norādīts</w:t>
            </w:r>
            <w:r w:rsidR="00AD6D80" w:rsidRPr="00156373">
              <w:rPr>
                <w:rFonts w:ascii="Times New Roman" w:hAnsi="Times New Roman" w:cs="Times New Roman"/>
                <w:sz w:val="24"/>
                <w:szCs w:val="24"/>
              </w:rPr>
              <w:t xml:space="preserve"> budžetā izmaksu pozīcijā Nr.3.1.</w:t>
            </w:r>
          </w:p>
        </w:tc>
      </w:tr>
      <w:tr w:rsidR="00D5477F" w:rsidRPr="00315625" w:rsidTr="00CD1BFE">
        <w:trPr>
          <w:trHeight w:val="70"/>
        </w:trPr>
        <w:tc>
          <w:tcPr>
            <w:tcW w:w="10632" w:type="dxa"/>
            <w:tcBorders>
              <w:top w:val="single" w:sz="4" w:space="0" w:color="auto"/>
              <w:left w:val="nil"/>
              <w:bottom w:val="single" w:sz="4" w:space="0" w:color="auto"/>
              <w:right w:val="nil"/>
            </w:tcBorders>
            <w:shd w:val="clear" w:color="auto" w:fill="FFFFFF" w:themeFill="background1"/>
          </w:tcPr>
          <w:p w:rsidR="00D5477F" w:rsidRPr="00D5477F" w:rsidRDefault="00D5477F" w:rsidP="00D5477F">
            <w:pPr>
              <w:jc w:val="both"/>
              <w:rPr>
                <w:b/>
              </w:rPr>
            </w:pPr>
          </w:p>
        </w:tc>
      </w:tr>
      <w:tr w:rsidR="00315625" w:rsidRPr="00315625" w:rsidTr="00CD1BFE">
        <w:trPr>
          <w:trHeight w:val="491"/>
        </w:trPr>
        <w:tc>
          <w:tcPr>
            <w:tcW w:w="10632" w:type="dxa"/>
            <w:tcBorders>
              <w:top w:val="single" w:sz="4" w:space="0" w:color="auto"/>
            </w:tcBorders>
            <w:shd w:val="clear" w:color="auto" w:fill="D9D9D9" w:themeFill="background1" w:themeFillShade="D9"/>
          </w:tcPr>
          <w:p w:rsidR="00315625" w:rsidRDefault="001F5C62" w:rsidP="00CB46AB">
            <w:pPr>
              <w:pStyle w:val="ListParagraph"/>
              <w:numPr>
                <w:ilvl w:val="0"/>
                <w:numId w:val="11"/>
              </w:numPr>
              <w:ind w:left="317"/>
              <w:jc w:val="both"/>
              <w:rPr>
                <w:b/>
              </w:rPr>
            </w:pPr>
            <w:r w:rsidRPr="001F5C62">
              <w:rPr>
                <w:b/>
              </w:rPr>
              <w:t>Jautājums</w:t>
            </w:r>
            <w:r w:rsidR="00000548">
              <w:rPr>
                <w:b/>
              </w:rPr>
              <w:t xml:space="preserve"> </w:t>
            </w:r>
            <w:r w:rsidR="00BA7E59">
              <w:rPr>
                <w:b/>
              </w:rPr>
              <w:t>(AM 10.1.3.</w:t>
            </w:r>
            <w:r w:rsidR="00000548" w:rsidRPr="00000548">
              <w:rPr>
                <w:b/>
              </w:rPr>
              <w:t>)</w:t>
            </w:r>
            <w:r w:rsidRPr="00000548">
              <w:rPr>
                <w:b/>
              </w:rPr>
              <w:t>:</w:t>
            </w:r>
            <w:r>
              <w:t xml:space="preserve"> </w:t>
            </w:r>
            <w:r w:rsidR="00156373">
              <w:t xml:space="preserve">Ja pašvaldībai projektu vērtēšana notiks 2019. un 2020. gadā, bet 2021. gadā nebūs neviena projekta, ko vērtēt, kā pareizi jāaizpilda </w:t>
            </w:r>
            <w:r>
              <w:t xml:space="preserve">projekta iesnieguma 2.3.punkts "Projekta īstenošanas ilgums (pilnos mēnešos)" </w:t>
            </w:r>
            <w:r w:rsidR="00156373">
              <w:t>- 24 mēneši vai 36 mēneši?</w:t>
            </w:r>
          </w:p>
        </w:tc>
      </w:tr>
      <w:tr w:rsidR="001F5C62" w:rsidRPr="001F5C62" w:rsidTr="00CD1BFE">
        <w:trPr>
          <w:trHeight w:val="491"/>
        </w:trPr>
        <w:tc>
          <w:tcPr>
            <w:tcW w:w="10632" w:type="dxa"/>
            <w:tcBorders>
              <w:bottom w:val="single" w:sz="4" w:space="0" w:color="auto"/>
            </w:tcBorders>
            <w:shd w:val="clear" w:color="auto" w:fill="FFFFFF" w:themeFill="background1"/>
          </w:tcPr>
          <w:p w:rsidR="00156373" w:rsidRPr="001F5C62" w:rsidRDefault="001F5C62" w:rsidP="001F5C62">
            <w:pPr>
              <w:jc w:val="both"/>
              <w:rPr>
                <w:rFonts w:ascii="Times New Roman" w:hAnsi="Times New Roman" w:cs="Times New Roman"/>
                <w:sz w:val="24"/>
                <w:szCs w:val="24"/>
              </w:rPr>
            </w:pPr>
            <w:r w:rsidRPr="001F5C62">
              <w:rPr>
                <w:rFonts w:ascii="Times New Roman" w:hAnsi="Times New Roman" w:cs="Times New Roman"/>
                <w:b/>
                <w:sz w:val="24"/>
                <w:szCs w:val="24"/>
              </w:rPr>
              <w:t>Atbilde:</w:t>
            </w:r>
            <w:r w:rsidRPr="001F5C62">
              <w:rPr>
                <w:rFonts w:ascii="Times New Roman" w:hAnsi="Times New Roman" w:cs="Times New Roman"/>
                <w:sz w:val="24"/>
                <w:szCs w:val="24"/>
              </w:rPr>
              <w:t xml:space="preserve"> Ja vērtēšanas procesu paredzēts nodrošināt tikai 2019. un 2020.gadā, projektu var īstenot tikai divus gadus (24 mēnešus), izmantojot piešķirto finansējumu nevis trīs gados, bet divos. Papildus norādām, ka ja tomēr būs nepieciešamība projektu pagarināt, tad papildus līdzekļi netiks piešķirti.</w:t>
            </w:r>
          </w:p>
        </w:tc>
      </w:tr>
      <w:tr w:rsidR="00CB46AB" w:rsidRPr="001F5C62" w:rsidTr="00CD1BFE">
        <w:trPr>
          <w:trHeight w:val="70"/>
        </w:trPr>
        <w:tc>
          <w:tcPr>
            <w:tcW w:w="10632" w:type="dxa"/>
            <w:tcBorders>
              <w:top w:val="single" w:sz="4" w:space="0" w:color="auto"/>
              <w:left w:val="nil"/>
              <w:bottom w:val="single" w:sz="4" w:space="0" w:color="auto"/>
              <w:right w:val="nil"/>
            </w:tcBorders>
            <w:shd w:val="clear" w:color="auto" w:fill="FFFFFF" w:themeFill="background1"/>
          </w:tcPr>
          <w:p w:rsidR="00CB46AB" w:rsidRPr="001F5C62" w:rsidRDefault="00CB46AB" w:rsidP="001F5C62">
            <w:pPr>
              <w:jc w:val="both"/>
              <w:rPr>
                <w:rFonts w:ascii="Times New Roman" w:hAnsi="Times New Roman" w:cs="Times New Roman"/>
                <w:b/>
                <w:sz w:val="24"/>
                <w:szCs w:val="24"/>
              </w:rPr>
            </w:pPr>
          </w:p>
        </w:tc>
      </w:tr>
      <w:tr w:rsidR="00156373" w:rsidRPr="00315625" w:rsidTr="00CD1BFE">
        <w:trPr>
          <w:trHeight w:val="491"/>
        </w:trPr>
        <w:tc>
          <w:tcPr>
            <w:tcW w:w="10632" w:type="dxa"/>
            <w:tcBorders>
              <w:top w:val="single" w:sz="4" w:space="0" w:color="auto"/>
            </w:tcBorders>
            <w:shd w:val="clear" w:color="auto" w:fill="D9D9D9" w:themeFill="background1" w:themeFillShade="D9"/>
          </w:tcPr>
          <w:p w:rsidR="001F5C62" w:rsidRDefault="001F5C62" w:rsidP="00CB46AB">
            <w:pPr>
              <w:pStyle w:val="ListParagraph"/>
              <w:numPr>
                <w:ilvl w:val="0"/>
                <w:numId w:val="11"/>
              </w:numPr>
              <w:ind w:left="317"/>
            </w:pPr>
            <w:r w:rsidRPr="001F5C62">
              <w:rPr>
                <w:b/>
              </w:rPr>
              <w:t>Jautājums:</w:t>
            </w:r>
            <w:r>
              <w:t xml:space="preserve"> Kas TP projektiem jāraksta 3.sadaļa "Saskaņa ar horizontālajiem principiem", ņemot vērā, ka reāli nekādus rādītājus atlasīt nevar, jo nebūs nekādu sasniedzamo vērtību? </w:t>
            </w:r>
          </w:p>
        </w:tc>
      </w:tr>
      <w:tr w:rsidR="00156373" w:rsidRPr="00315625" w:rsidTr="00CD1BFE">
        <w:trPr>
          <w:trHeight w:val="491"/>
        </w:trPr>
        <w:tc>
          <w:tcPr>
            <w:tcW w:w="10632" w:type="dxa"/>
            <w:tcBorders>
              <w:bottom w:val="single" w:sz="4" w:space="0" w:color="auto"/>
            </w:tcBorders>
            <w:shd w:val="clear" w:color="auto" w:fill="FFFFFF" w:themeFill="background1"/>
          </w:tcPr>
          <w:p w:rsidR="002B7954" w:rsidRPr="00CC6735" w:rsidRDefault="001F5C62" w:rsidP="002B7954">
            <w:pPr>
              <w:jc w:val="both"/>
              <w:rPr>
                <w:rFonts w:ascii="Times New Roman" w:hAnsi="Times New Roman" w:cs="Times New Roman"/>
                <w:sz w:val="24"/>
                <w:szCs w:val="24"/>
              </w:rPr>
            </w:pPr>
            <w:r w:rsidRPr="00CC6735">
              <w:rPr>
                <w:rFonts w:ascii="Times New Roman" w:hAnsi="Times New Roman" w:cs="Times New Roman"/>
                <w:b/>
                <w:sz w:val="24"/>
                <w:szCs w:val="24"/>
              </w:rPr>
              <w:t>Atbilde:</w:t>
            </w:r>
            <w:r w:rsidRPr="00CC6735">
              <w:rPr>
                <w:rFonts w:ascii="Times New Roman" w:hAnsi="Times New Roman" w:cs="Times New Roman"/>
                <w:sz w:val="24"/>
                <w:szCs w:val="24"/>
              </w:rPr>
              <w:t xml:space="preserve"> Projekta iesnieguma 3.1.punktā  jānorāda informāciju par darbību, kas veicinās horizontālā principa “Vi</w:t>
            </w:r>
            <w:r w:rsidR="00CC6735" w:rsidRPr="00CC6735">
              <w:rPr>
                <w:rFonts w:ascii="Times New Roman" w:hAnsi="Times New Roman" w:cs="Times New Roman"/>
                <w:sz w:val="24"/>
                <w:szCs w:val="24"/>
              </w:rPr>
              <w:t>enlīdzīgas iespējas” ievērošanu.</w:t>
            </w:r>
            <w:r w:rsidR="00CC6735">
              <w:rPr>
                <w:rFonts w:ascii="Times New Roman" w:hAnsi="Times New Roman" w:cs="Times New Roman"/>
                <w:sz w:val="24"/>
                <w:szCs w:val="24"/>
              </w:rPr>
              <w:t xml:space="preserve"> </w:t>
            </w:r>
            <w:r w:rsidR="00CC6735" w:rsidRPr="00CC6735">
              <w:rPr>
                <w:rFonts w:ascii="Times New Roman" w:hAnsi="Times New Roman" w:cs="Times New Roman"/>
                <w:sz w:val="24"/>
                <w:szCs w:val="24"/>
              </w:rPr>
              <w:t xml:space="preserve">Piemēram, </w:t>
            </w:r>
            <w:r w:rsidRPr="00CC6735">
              <w:rPr>
                <w:rFonts w:ascii="Times New Roman" w:hAnsi="Times New Roman" w:cs="Times New Roman"/>
                <w:sz w:val="24"/>
                <w:szCs w:val="24"/>
              </w:rPr>
              <w:t xml:space="preserve">apmācību saturā tiks iekļautas tēmas par vienlīdzīgu iespēju un </w:t>
            </w:r>
            <w:proofErr w:type="spellStart"/>
            <w:r w:rsidRPr="00CC6735">
              <w:rPr>
                <w:rFonts w:ascii="Times New Roman" w:hAnsi="Times New Roman" w:cs="Times New Roman"/>
                <w:sz w:val="24"/>
                <w:szCs w:val="24"/>
              </w:rPr>
              <w:t>nediskriminācijas</w:t>
            </w:r>
            <w:proofErr w:type="spellEnd"/>
            <w:r w:rsidRPr="00CC6735">
              <w:rPr>
                <w:rFonts w:ascii="Times New Roman" w:hAnsi="Times New Roman" w:cs="Times New Roman"/>
                <w:sz w:val="24"/>
                <w:szCs w:val="24"/>
              </w:rPr>
              <w:t xml:space="preserve"> jautājumiem, vai, piemēram, projekta vadības vai īstenošanas darbība tiks īstenota pielāgotās telpās perso</w:t>
            </w:r>
            <w:r w:rsidR="002B7954">
              <w:rPr>
                <w:rFonts w:ascii="Times New Roman" w:hAnsi="Times New Roman" w:cs="Times New Roman"/>
                <w:sz w:val="24"/>
                <w:szCs w:val="24"/>
              </w:rPr>
              <w:t>nām ar invaliditāti, nodrošinot/ kur ir nodrošināta nepieciešamā</w:t>
            </w:r>
            <w:r w:rsidRPr="00CC6735">
              <w:rPr>
                <w:rFonts w:ascii="Times New Roman" w:hAnsi="Times New Roman" w:cs="Times New Roman"/>
                <w:sz w:val="24"/>
                <w:szCs w:val="24"/>
              </w:rPr>
              <w:t xml:space="preserve"> aprīkojumu iekļūšanai telpās un pielāgotas informācijas tehnoloģijas, ja tas ir nepieciešams. Attiecīgi projekta iesnieguma 3.2.punktā </w:t>
            </w:r>
            <w:r w:rsidR="00CC6735" w:rsidRPr="00CC6735">
              <w:rPr>
                <w:rFonts w:ascii="Times New Roman" w:hAnsi="Times New Roman" w:cs="Times New Roman"/>
                <w:sz w:val="24"/>
                <w:szCs w:val="24"/>
              </w:rPr>
              <w:t>jāizvēlas</w:t>
            </w:r>
            <w:r w:rsidRPr="00CC6735">
              <w:rPr>
                <w:rFonts w:ascii="Times New Roman" w:hAnsi="Times New Roman" w:cs="Times New Roman"/>
                <w:sz w:val="24"/>
                <w:szCs w:val="24"/>
              </w:rPr>
              <w:t xml:space="preserve"> rādītāju “Projektu skaits, kuros ESF ieguldījumu rezultātā ir nodrošināta dzimumu līdztiesības, invaliditātes, vecuma un etniskās piederības principu ievērošana”. </w:t>
            </w:r>
          </w:p>
        </w:tc>
      </w:tr>
      <w:tr w:rsidR="00CB46AB" w:rsidRPr="00315625" w:rsidTr="00CD1BFE">
        <w:trPr>
          <w:trHeight w:val="70"/>
        </w:trPr>
        <w:tc>
          <w:tcPr>
            <w:tcW w:w="10632" w:type="dxa"/>
            <w:tcBorders>
              <w:top w:val="single" w:sz="4" w:space="0" w:color="auto"/>
              <w:left w:val="nil"/>
              <w:bottom w:val="single" w:sz="4" w:space="0" w:color="auto"/>
              <w:right w:val="nil"/>
            </w:tcBorders>
            <w:shd w:val="clear" w:color="auto" w:fill="FFFFFF" w:themeFill="background1"/>
          </w:tcPr>
          <w:p w:rsidR="00CB46AB" w:rsidRPr="00CC6735" w:rsidRDefault="00CB46AB" w:rsidP="002B7954">
            <w:pPr>
              <w:jc w:val="both"/>
              <w:rPr>
                <w:rFonts w:ascii="Times New Roman" w:hAnsi="Times New Roman" w:cs="Times New Roman"/>
                <w:b/>
                <w:sz w:val="24"/>
                <w:szCs w:val="24"/>
              </w:rPr>
            </w:pPr>
          </w:p>
        </w:tc>
      </w:tr>
      <w:tr w:rsidR="00156373" w:rsidRPr="00315625" w:rsidTr="00CD1BFE">
        <w:trPr>
          <w:trHeight w:val="491"/>
        </w:trPr>
        <w:tc>
          <w:tcPr>
            <w:tcW w:w="10632" w:type="dxa"/>
            <w:tcBorders>
              <w:top w:val="single" w:sz="4" w:space="0" w:color="auto"/>
            </w:tcBorders>
            <w:shd w:val="clear" w:color="auto" w:fill="D9D9D9" w:themeFill="background1" w:themeFillShade="D9"/>
          </w:tcPr>
          <w:p w:rsidR="00156373" w:rsidRDefault="00CC6735" w:rsidP="00762EAB">
            <w:pPr>
              <w:pStyle w:val="ListParagraph"/>
              <w:numPr>
                <w:ilvl w:val="0"/>
                <w:numId w:val="11"/>
              </w:numPr>
              <w:ind w:left="317"/>
            </w:pPr>
            <w:r w:rsidRPr="00CC6735">
              <w:rPr>
                <w:b/>
              </w:rPr>
              <w:t>Jautājums:</w:t>
            </w:r>
            <w:r>
              <w:t xml:space="preserve"> Kādas mērvienības labāk norādīt projekta iesniegumā, ja sasniedzamajos rādītājos tik uzskaitīti darbinieki un to noslodze?</w:t>
            </w:r>
          </w:p>
        </w:tc>
      </w:tr>
      <w:tr w:rsidR="00CC6735" w:rsidRPr="00CC6735" w:rsidTr="00CD1BFE">
        <w:trPr>
          <w:trHeight w:val="491"/>
        </w:trPr>
        <w:tc>
          <w:tcPr>
            <w:tcW w:w="10632" w:type="dxa"/>
            <w:tcBorders>
              <w:bottom w:val="single" w:sz="4" w:space="0" w:color="auto"/>
            </w:tcBorders>
            <w:shd w:val="clear" w:color="auto" w:fill="FFFFFF" w:themeFill="background1"/>
          </w:tcPr>
          <w:p w:rsidR="00CC6735" w:rsidRPr="00CC6735" w:rsidRDefault="00CC6735" w:rsidP="004C7134">
            <w:pPr>
              <w:jc w:val="both"/>
              <w:rPr>
                <w:rFonts w:ascii="Times New Roman" w:hAnsi="Times New Roman" w:cs="Times New Roman"/>
                <w:b/>
                <w:sz w:val="24"/>
                <w:szCs w:val="24"/>
              </w:rPr>
            </w:pPr>
            <w:r w:rsidRPr="00CC6735">
              <w:rPr>
                <w:rFonts w:ascii="Times New Roman" w:hAnsi="Times New Roman" w:cs="Times New Roman"/>
                <w:b/>
                <w:sz w:val="24"/>
                <w:szCs w:val="24"/>
              </w:rPr>
              <w:t xml:space="preserve">Atbilde: </w:t>
            </w:r>
            <w:r w:rsidRPr="00CC6735">
              <w:rPr>
                <w:rFonts w:ascii="Times New Roman" w:hAnsi="Times New Roman" w:cs="Times New Roman"/>
                <w:sz w:val="24"/>
                <w:szCs w:val="24"/>
              </w:rPr>
              <w:t>Projekta iesnieguma 1.5.punktā “</w:t>
            </w:r>
            <w:r>
              <w:rPr>
                <w:rFonts w:ascii="Times New Roman" w:hAnsi="Times New Roman" w:cs="Times New Roman"/>
                <w:sz w:val="24"/>
                <w:szCs w:val="24"/>
              </w:rPr>
              <w:t>P</w:t>
            </w:r>
            <w:r w:rsidRPr="00CC6735">
              <w:rPr>
                <w:rFonts w:ascii="Times New Roman" w:hAnsi="Times New Roman" w:cs="Times New Roman"/>
                <w:sz w:val="24"/>
                <w:szCs w:val="24"/>
              </w:rPr>
              <w:t xml:space="preserve">rojekta darbības un sasniedzamie rezultāti” un projekta iesnieguma 3.pielikumā “Projekta budžeta kopsavilkums” pie šādiem rādītājiem ieteicams norādīt mērvienību “Cilvēki” vai “Darbinieki”, savukārt projekta iesnieguma 1.6.punktā “Projektā sasniedzamie uzraudzības rādītāji […]” rādītājiem, kuros uzskaita darbiniekus un to noslodzes, jānorāda mērvienība “Slodzes” atbilstoši </w:t>
            </w:r>
            <w:r w:rsidRPr="00CC6735">
              <w:rPr>
                <w:rFonts w:ascii="Times New Roman" w:hAnsi="Times New Roman" w:cs="Times New Roman"/>
                <w:sz w:val="24"/>
                <w:szCs w:val="24"/>
              </w:rPr>
              <w:lastRenderedPageBreak/>
              <w:t>metodikā norādītajam.</w:t>
            </w:r>
            <w:r>
              <w:rPr>
                <w:rFonts w:ascii="Times New Roman" w:hAnsi="Times New Roman" w:cs="Times New Roman"/>
                <w:sz w:val="24"/>
                <w:szCs w:val="24"/>
              </w:rPr>
              <w:t xml:space="preserve"> Papildus par projekta iesnieguma 1.6.punkta</w:t>
            </w:r>
            <w:r w:rsidRPr="00CC6735">
              <w:rPr>
                <w:rFonts w:ascii="Times New Roman" w:hAnsi="Times New Roman" w:cs="Times New Roman"/>
                <w:sz w:val="24"/>
                <w:szCs w:val="24"/>
              </w:rPr>
              <w:t xml:space="preserve"> “Projektā sasniedzamie uzraudzības rādītāji […]” </w:t>
            </w:r>
            <w:r>
              <w:rPr>
                <w:rFonts w:ascii="Times New Roman" w:hAnsi="Times New Roman" w:cs="Times New Roman"/>
                <w:sz w:val="24"/>
                <w:szCs w:val="24"/>
              </w:rPr>
              <w:t xml:space="preserve">aizpildīšanu skatīt pie </w:t>
            </w:r>
            <w:r w:rsidR="004C7134">
              <w:rPr>
                <w:rFonts w:ascii="Times New Roman" w:hAnsi="Times New Roman" w:cs="Times New Roman"/>
                <w:sz w:val="24"/>
                <w:szCs w:val="24"/>
              </w:rPr>
              <w:t>6</w:t>
            </w:r>
            <w:bookmarkStart w:id="0" w:name="_GoBack"/>
            <w:bookmarkEnd w:id="0"/>
            <w:r>
              <w:rPr>
                <w:rFonts w:ascii="Times New Roman" w:hAnsi="Times New Roman" w:cs="Times New Roman"/>
                <w:sz w:val="24"/>
                <w:szCs w:val="24"/>
              </w:rPr>
              <w:t xml:space="preserve">.jautājuma. </w:t>
            </w:r>
          </w:p>
        </w:tc>
      </w:tr>
      <w:tr w:rsidR="00CB46AB" w:rsidRPr="00CC6735" w:rsidTr="00CD1BFE">
        <w:trPr>
          <w:trHeight w:val="70"/>
        </w:trPr>
        <w:tc>
          <w:tcPr>
            <w:tcW w:w="10632" w:type="dxa"/>
            <w:tcBorders>
              <w:top w:val="single" w:sz="4" w:space="0" w:color="auto"/>
              <w:left w:val="nil"/>
              <w:bottom w:val="single" w:sz="4" w:space="0" w:color="auto"/>
              <w:right w:val="nil"/>
            </w:tcBorders>
            <w:shd w:val="clear" w:color="auto" w:fill="FFFFFF" w:themeFill="background1"/>
          </w:tcPr>
          <w:p w:rsidR="00CB46AB" w:rsidRPr="00CC6735" w:rsidRDefault="00CB46AB" w:rsidP="00C76415">
            <w:pPr>
              <w:jc w:val="both"/>
              <w:rPr>
                <w:rFonts w:ascii="Times New Roman" w:hAnsi="Times New Roman" w:cs="Times New Roman"/>
                <w:b/>
                <w:sz w:val="24"/>
                <w:szCs w:val="24"/>
              </w:rPr>
            </w:pPr>
          </w:p>
        </w:tc>
      </w:tr>
      <w:tr w:rsidR="00156373" w:rsidRPr="00315625" w:rsidTr="00CD1BFE">
        <w:trPr>
          <w:trHeight w:val="491"/>
        </w:trPr>
        <w:tc>
          <w:tcPr>
            <w:tcW w:w="10632" w:type="dxa"/>
            <w:tcBorders>
              <w:top w:val="single" w:sz="4" w:space="0" w:color="auto"/>
            </w:tcBorders>
            <w:shd w:val="clear" w:color="auto" w:fill="D9D9D9" w:themeFill="background1" w:themeFillShade="D9"/>
          </w:tcPr>
          <w:p w:rsidR="00156373" w:rsidRDefault="00CC6735" w:rsidP="0082323F">
            <w:pPr>
              <w:pStyle w:val="ListParagraph"/>
              <w:numPr>
                <w:ilvl w:val="0"/>
                <w:numId w:val="11"/>
              </w:numPr>
              <w:ind w:left="317"/>
            </w:pPr>
            <w:r w:rsidRPr="00D11ABA">
              <w:rPr>
                <w:b/>
              </w:rPr>
              <w:t>Jautājums</w:t>
            </w:r>
            <w:r w:rsidR="00D11ABA" w:rsidRPr="00D11ABA">
              <w:rPr>
                <w:b/>
              </w:rPr>
              <w:t>:</w:t>
            </w:r>
            <w:r w:rsidR="00D11ABA">
              <w:t xml:space="preserve"> Kurā projekta iesnieguma 3.pielikuma “Projekta budžeta kopsavilkums” sadaļā jānorāda ceļa (transporta)  izdevumi, ja tie ir saistīti ar pārbaužu veikšanu?</w:t>
            </w:r>
          </w:p>
        </w:tc>
      </w:tr>
      <w:tr w:rsidR="00156373" w:rsidRPr="00315625" w:rsidTr="00CD1BFE">
        <w:trPr>
          <w:trHeight w:val="491"/>
        </w:trPr>
        <w:tc>
          <w:tcPr>
            <w:tcW w:w="10632" w:type="dxa"/>
            <w:tcBorders>
              <w:bottom w:val="single" w:sz="4" w:space="0" w:color="auto"/>
            </w:tcBorders>
            <w:shd w:val="clear" w:color="auto" w:fill="FFFFFF" w:themeFill="background1"/>
          </w:tcPr>
          <w:p w:rsidR="0082323F" w:rsidRPr="0082323F" w:rsidRDefault="00D11ABA" w:rsidP="0082323F">
            <w:pPr>
              <w:jc w:val="both"/>
              <w:rPr>
                <w:rFonts w:ascii="Times New Roman" w:hAnsi="Times New Roman" w:cs="Times New Roman"/>
                <w:sz w:val="24"/>
                <w:szCs w:val="24"/>
              </w:rPr>
            </w:pPr>
            <w:r w:rsidRPr="00D11ABA">
              <w:rPr>
                <w:rFonts w:ascii="Times New Roman" w:hAnsi="Times New Roman" w:cs="Times New Roman"/>
                <w:b/>
                <w:sz w:val="24"/>
                <w:szCs w:val="24"/>
              </w:rPr>
              <w:t>Atbilde</w:t>
            </w:r>
            <w:r w:rsidR="0082323F">
              <w:rPr>
                <w:rFonts w:ascii="Times New Roman" w:hAnsi="Times New Roman" w:cs="Times New Roman"/>
                <w:b/>
                <w:sz w:val="24"/>
                <w:szCs w:val="24"/>
              </w:rPr>
              <w:t xml:space="preserve"> </w:t>
            </w:r>
            <w:r w:rsidR="0082323F" w:rsidRPr="00184EE3">
              <w:rPr>
                <w:rFonts w:ascii="Times New Roman" w:hAnsi="Times New Roman"/>
                <w:i/>
                <w:color w:val="FF0000"/>
                <w:sz w:val="24"/>
                <w:szCs w:val="24"/>
              </w:rPr>
              <w:t>(papildināta 1</w:t>
            </w:r>
            <w:r w:rsidR="0082323F">
              <w:rPr>
                <w:rFonts w:ascii="Times New Roman" w:hAnsi="Times New Roman"/>
                <w:i/>
                <w:color w:val="FF0000"/>
                <w:sz w:val="24"/>
                <w:szCs w:val="24"/>
              </w:rPr>
              <w:t>1</w:t>
            </w:r>
            <w:r w:rsidR="0082323F" w:rsidRPr="00184EE3">
              <w:rPr>
                <w:rFonts w:ascii="Times New Roman" w:hAnsi="Times New Roman"/>
                <w:i/>
                <w:color w:val="FF0000"/>
                <w:sz w:val="24"/>
                <w:szCs w:val="24"/>
              </w:rPr>
              <w:t>.10.2018.)</w:t>
            </w:r>
            <w:r w:rsidRPr="00D11ABA">
              <w:rPr>
                <w:rFonts w:ascii="Times New Roman" w:hAnsi="Times New Roman" w:cs="Times New Roman"/>
                <w:b/>
                <w:sz w:val="24"/>
                <w:szCs w:val="24"/>
              </w:rPr>
              <w:t>:</w:t>
            </w:r>
            <w:r w:rsidRPr="00D11ABA">
              <w:rPr>
                <w:rFonts w:ascii="Times New Roman" w:hAnsi="Times New Roman" w:cs="Times New Roman"/>
                <w:sz w:val="24"/>
                <w:szCs w:val="24"/>
              </w:rPr>
              <w:t xml:space="preserve"> Ja </w:t>
            </w:r>
            <w:r w:rsidR="0082323F" w:rsidRPr="0082323F">
              <w:rPr>
                <w:rFonts w:ascii="Times New Roman" w:hAnsi="Times New Roman" w:cs="Times New Roman"/>
                <w:sz w:val="24"/>
                <w:szCs w:val="24"/>
              </w:rPr>
              <w:t>ceļa (transporta) izdevumi ir saistīti ar projekta veicamajām pārbaudēm projekta īstenošanas vietā, tad tos var norādīt projekta iesnieguma 3.pielikuma “Projekta budžeta kopsavilkums”:</w:t>
            </w:r>
          </w:p>
          <w:p w:rsidR="0082323F" w:rsidRPr="0082323F" w:rsidRDefault="0082323F" w:rsidP="0082323F">
            <w:pPr>
              <w:ind w:left="459" w:hanging="317"/>
              <w:jc w:val="both"/>
              <w:rPr>
                <w:rFonts w:ascii="Times New Roman" w:hAnsi="Times New Roman" w:cs="Times New Roman"/>
                <w:sz w:val="24"/>
                <w:szCs w:val="24"/>
              </w:rPr>
            </w:pPr>
            <w:r w:rsidRPr="0082323F">
              <w:rPr>
                <w:rFonts w:ascii="Times New Roman" w:hAnsi="Times New Roman" w:cs="Times New Roman"/>
                <w:sz w:val="24"/>
                <w:szCs w:val="24"/>
              </w:rPr>
              <w:t>1)</w:t>
            </w:r>
            <w:r w:rsidRPr="0082323F">
              <w:rPr>
                <w:rFonts w:ascii="Times New Roman" w:hAnsi="Times New Roman" w:cs="Times New Roman"/>
                <w:sz w:val="24"/>
                <w:szCs w:val="24"/>
              </w:rPr>
              <w:tab/>
              <w:t>izmaksu pozīcijā Nr.13.3. “Izmaksas, kas saistītas ar Eiropas Savienības fondu pasākumu organizēšanu un apmeklēšanu” (AM 10.1.3. ietvaros (atbilstoši MK noteikumu 21.3.3.apakšpunktam) un AM 11.1.1. ietvaros (atbilstoši MK noteikumu 33.3.3.apakšpunktam)) un izmaksu pozīcijā Nr.13.2. “Izmaksas, kas saistītas ar Eiropas Savienības fondu pasākumu organizēšanu un apmeklēšanu” (AM 12.1.1. ietvaros (atbilstoši MK noteikumu 40.3.3.apakšpunktam)),</w:t>
            </w:r>
          </w:p>
          <w:p w:rsidR="0082323F" w:rsidRPr="0082323F" w:rsidRDefault="0082323F" w:rsidP="0082323F">
            <w:pPr>
              <w:ind w:left="459" w:hanging="317"/>
              <w:jc w:val="both"/>
              <w:rPr>
                <w:rFonts w:ascii="Times New Roman" w:hAnsi="Times New Roman" w:cs="Times New Roman"/>
                <w:sz w:val="24"/>
                <w:szCs w:val="24"/>
              </w:rPr>
            </w:pPr>
            <w:r w:rsidRPr="0082323F">
              <w:rPr>
                <w:rFonts w:ascii="Times New Roman" w:hAnsi="Times New Roman" w:cs="Times New Roman"/>
                <w:sz w:val="24"/>
                <w:szCs w:val="24"/>
              </w:rPr>
              <w:t xml:space="preserve">vai </w:t>
            </w:r>
          </w:p>
          <w:p w:rsidR="0082323F" w:rsidRPr="0082323F" w:rsidRDefault="0082323F" w:rsidP="0082323F">
            <w:pPr>
              <w:ind w:left="459" w:hanging="317"/>
              <w:jc w:val="both"/>
              <w:rPr>
                <w:rFonts w:ascii="Times New Roman" w:hAnsi="Times New Roman" w:cs="Times New Roman"/>
                <w:sz w:val="24"/>
                <w:szCs w:val="24"/>
              </w:rPr>
            </w:pPr>
            <w:r w:rsidRPr="0082323F">
              <w:rPr>
                <w:rFonts w:ascii="Times New Roman" w:hAnsi="Times New Roman" w:cs="Times New Roman"/>
                <w:sz w:val="24"/>
                <w:szCs w:val="24"/>
              </w:rPr>
              <w:t>2)</w:t>
            </w:r>
            <w:r w:rsidRPr="0082323F">
              <w:rPr>
                <w:rFonts w:ascii="Times New Roman" w:hAnsi="Times New Roman" w:cs="Times New Roman"/>
                <w:sz w:val="24"/>
                <w:szCs w:val="24"/>
              </w:rPr>
              <w:tab/>
              <w:t>izmaksu pozīcijā Nr.3.2.2.2. “Transporta izmaksas” (AM 10.1.3. ietvaros (atbilstoši MK noteikumu 21.10.2.apakšpunktam), Nr.2.2.2.1. “Transporta izmaksas” (AM 11.1.1. ietvaros (atbilstoši MK noteikumu 33.9.2.apakšpunktam)  un 2.2.2.1. “Transporta izmaksas” (AM 12.1.1. ietvaros (atbilstoši MK noteikumu 40.10.2.apakšpunktam),</w:t>
            </w:r>
          </w:p>
          <w:p w:rsidR="0082323F" w:rsidRPr="0082323F" w:rsidRDefault="0082323F" w:rsidP="0082323F">
            <w:pPr>
              <w:jc w:val="both"/>
              <w:rPr>
                <w:rFonts w:ascii="Times New Roman" w:hAnsi="Times New Roman" w:cs="Times New Roman"/>
                <w:sz w:val="24"/>
                <w:szCs w:val="24"/>
              </w:rPr>
            </w:pPr>
            <w:r w:rsidRPr="0082323F">
              <w:rPr>
                <w:rFonts w:ascii="Times New Roman" w:hAnsi="Times New Roman" w:cs="Times New Roman"/>
                <w:sz w:val="24"/>
                <w:szCs w:val="24"/>
              </w:rPr>
              <w:t xml:space="preserve">ja nepieciešams, izdalot kā atsevišķu </w:t>
            </w:r>
            <w:proofErr w:type="spellStart"/>
            <w:r w:rsidRPr="0082323F">
              <w:rPr>
                <w:rFonts w:ascii="Times New Roman" w:hAnsi="Times New Roman" w:cs="Times New Roman"/>
                <w:sz w:val="24"/>
                <w:szCs w:val="24"/>
              </w:rPr>
              <w:t>apakšpozīciju</w:t>
            </w:r>
            <w:proofErr w:type="spellEnd"/>
          </w:p>
          <w:p w:rsidR="0082323F" w:rsidRDefault="0082323F" w:rsidP="00475567">
            <w:pPr>
              <w:jc w:val="both"/>
              <w:rPr>
                <w:rFonts w:ascii="Times New Roman" w:hAnsi="Times New Roman" w:cs="Times New Roman"/>
                <w:sz w:val="24"/>
                <w:szCs w:val="24"/>
              </w:rPr>
            </w:pPr>
          </w:p>
          <w:p w:rsidR="00D11ABA" w:rsidRPr="0082323F" w:rsidRDefault="0082323F" w:rsidP="00475567">
            <w:pPr>
              <w:jc w:val="both"/>
              <w:rPr>
                <w:rFonts w:ascii="Times New Roman" w:hAnsi="Times New Roman" w:cs="Times New Roman"/>
                <w:sz w:val="24"/>
                <w:szCs w:val="24"/>
              </w:rPr>
            </w:pPr>
            <w:r w:rsidRPr="0082323F">
              <w:rPr>
                <w:rFonts w:ascii="Times New Roman" w:hAnsi="Times New Roman" w:cs="Times New Roman"/>
                <w:sz w:val="24"/>
                <w:szCs w:val="24"/>
              </w:rPr>
              <w:t>Papildus vēršam uzmanību, ja tiek plānotas transporta izmaks</w:t>
            </w:r>
            <w:r>
              <w:rPr>
                <w:rFonts w:ascii="Times New Roman" w:hAnsi="Times New Roman" w:cs="Times New Roman"/>
                <w:sz w:val="24"/>
                <w:szCs w:val="24"/>
              </w:rPr>
              <w:t>as</w:t>
            </w:r>
            <w:r w:rsidRPr="0082323F">
              <w:rPr>
                <w:rFonts w:ascii="Times New Roman" w:hAnsi="Times New Roman" w:cs="Times New Roman"/>
                <w:sz w:val="24"/>
                <w:szCs w:val="24"/>
              </w:rPr>
              <w:t xml:space="preserve"> degvielai, tās jānorāda atsevišķā </w:t>
            </w:r>
            <w:r>
              <w:rPr>
                <w:rFonts w:ascii="Times New Roman" w:hAnsi="Times New Roman" w:cs="Times New Roman"/>
                <w:sz w:val="24"/>
                <w:szCs w:val="24"/>
              </w:rPr>
              <w:t xml:space="preserve">izmaksu </w:t>
            </w:r>
            <w:proofErr w:type="spellStart"/>
            <w:r w:rsidRPr="0082323F">
              <w:rPr>
                <w:rFonts w:ascii="Times New Roman" w:hAnsi="Times New Roman" w:cs="Times New Roman"/>
                <w:sz w:val="24"/>
                <w:szCs w:val="24"/>
              </w:rPr>
              <w:t>apakšpozīcijā</w:t>
            </w:r>
            <w:proofErr w:type="spellEnd"/>
            <w:r w:rsidRPr="0082323F">
              <w:rPr>
                <w:rFonts w:ascii="Times New Roman" w:hAnsi="Times New Roman" w:cs="Times New Roman"/>
                <w:sz w:val="24"/>
                <w:szCs w:val="24"/>
              </w:rPr>
              <w:t xml:space="preserve"> kā vienas vienības izmaksas.</w:t>
            </w:r>
          </w:p>
        </w:tc>
      </w:tr>
      <w:tr w:rsidR="00AA3898" w:rsidRPr="00315625" w:rsidTr="00CD1BFE">
        <w:trPr>
          <w:trHeight w:val="193"/>
        </w:trPr>
        <w:tc>
          <w:tcPr>
            <w:tcW w:w="10632" w:type="dxa"/>
            <w:tcBorders>
              <w:left w:val="nil"/>
              <w:bottom w:val="single" w:sz="4" w:space="0" w:color="auto"/>
              <w:right w:val="nil"/>
            </w:tcBorders>
            <w:shd w:val="clear" w:color="auto" w:fill="FFFFFF" w:themeFill="background1"/>
          </w:tcPr>
          <w:p w:rsidR="00AA3898" w:rsidRPr="00D11ABA" w:rsidRDefault="00AA3898" w:rsidP="00475567">
            <w:pPr>
              <w:jc w:val="both"/>
              <w:rPr>
                <w:rFonts w:ascii="Times New Roman" w:hAnsi="Times New Roman" w:cs="Times New Roman"/>
                <w:b/>
                <w:sz w:val="24"/>
                <w:szCs w:val="24"/>
              </w:rPr>
            </w:pPr>
          </w:p>
        </w:tc>
      </w:tr>
      <w:tr w:rsidR="00000548" w:rsidRPr="00315625" w:rsidTr="00CD1BFE">
        <w:trPr>
          <w:trHeight w:val="491"/>
        </w:trPr>
        <w:tc>
          <w:tcPr>
            <w:tcW w:w="10632" w:type="dxa"/>
            <w:shd w:val="clear" w:color="auto" w:fill="D9D9D9" w:themeFill="background1" w:themeFillShade="D9"/>
          </w:tcPr>
          <w:p w:rsidR="00A82843" w:rsidRPr="00A82843" w:rsidRDefault="00000548" w:rsidP="00762EAB">
            <w:pPr>
              <w:pStyle w:val="ListParagraph"/>
              <w:numPr>
                <w:ilvl w:val="0"/>
                <w:numId w:val="11"/>
              </w:numPr>
              <w:ind w:left="317"/>
              <w:jc w:val="both"/>
              <w:rPr>
                <w:b/>
              </w:rPr>
            </w:pPr>
            <w:r>
              <w:rPr>
                <w:b/>
              </w:rPr>
              <w:t>Jautājums (</w:t>
            </w:r>
            <w:r w:rsidR="00BA7E59">
              <w:rPr>
                <w:b/>
              </w:rPr>
              <w:t xml:space="preserve">AM </w:t>
            </w:r>
            <w:r>
              <w:rPr>
                <w:b/>
              </w:rPr>
              <w:t xml:space="preserve">10.1.2.): </w:t>
            </w:r>
            <w:r w:rsidRPr="006D42CA">
              <w:t>Kādu sākotnējo gadu un plānoto gala vērtību norādīt projekta iesnieguma 1.6.</w:t>
            </w:r>
            <w:r w:rsidR="00A82843">
              <w:t>2.apakš</w:t>
            </w:r>
            <w:r w:rsidRPr="006D42CA">
              <w:t>punk</w:t>
            </w:r>
            <w:r w:rsidRPr="00A82843">
              <w:t>tā</w:t>
            </w:r>
            <w:r w:rsidR="00A82843" w:rsidRPr="00A82843">
              <w:t xml:space="preserve"> “</w:t>
            </w:r>
            <w:r w:rsidR="00A82843" w:rsidRPr="00A82843">
              <w:rPr>
                <w:rFonts w:eastAsia="Times New Roman"/>
                <w:bCs/>
              </w:rPr>
              <w:t>Rezultāta rādītāji”</w:t>
            </w:r>
            <w:r w:rsidR="00A82843">
              <w:rPr>
                <w:rFonts w:eastAsia="Times New Roman"/>
                <w:bCs/>
              </w:rPr>
              <w:t>?</w:t>
            </w:r>
          </w:p>
        </w:tc>
      </w:tr>
      <w:tr w:rsidR="00A82843" w:rsidRPr="00315625" w:rsidTr="00CD1BFE">
        <w:trPr>
          <w:trHeight w:val="491"/>
        </w:trPr>
        <w:tc>
          <w:tcPr>
            <w:tcW w:w="10632" w:type="dxa"/>
            <w:tcBorders>
              <w:bottom w:val="single" w:sz="4" w:space="0" w:color="auto"/>
            </w:tcBorders>
            <w:shd w:val="clear" w:color="auto" w:fill="FFFFFF" w:themeFill="background1"/>
          </w:tcPr>
          <w:p w:rsidR="00A82843" w:rsidRPr="00B520B9" w:rsidRDefault="00A82843" w:rsidP="00B520B9">
            <w:pPr>
              <w:jc w:val="both"/>
              <w:rPr>
                <w:rFonts w:ascii="Times New Roman" w:hAnsi="Times New Roman" w:cs="Times New Roman"/>
                <w:b/>
                <w:sz w:val="24"/>
                <w:szCs w:val="24"/>
              </w:rPr>
            </w:pPr>
            <w:r w:rsidRPr="00B520B9">
              <w:rPr>
                <w:rFonts w:ascii="Times New Roman" w:hAnsi="Times New Roman" w:cs="Times New Roman"/>
                <w:b/>
                <w:sz w:val="24"/>
                <w:szCs w:val="24"/>
              </w:rPr>
              <w:t xml:space="preserve">Atbilde: </w:t>
            </w:r>
            <w:r w:rsidR="00B520B9" w:rsidRPr="00B520B9">
              <w:rPr>
                <w:rFonts w:ascii="Times New Roman" w:hAnsi="Times New Roman" w:cs="Times New Roman"/>
                <w:sz w:val="24"/>
                <w:szCs w:val="24"/>
              </w:rPr>
              <w:t>Projekta iesnieguma 1.6.2.apakšpunktā “</w:t>
            </w:r>
            <w:r w:rsidR="00B520B9" w:rsidRPr="00B520B9">
              <w:rPr>
                <w:rFonts w:ascii="Times New Roman" w:eastAsia="Times New Roman" w:hAnsi="Times New Roman" w:cs="Times New Roman"/>
                <w:bCs/>
                <w:sz w:val="24"/>
                <w:szCs w:val="24"/>
              </w:rPr>
              <w:t>Rezultāta rādītāji” kolonnā “Sākotnējās vērtība” kā gads jānorāda “2018.” un atbilstoši tam kā vērtība jānorāda projekta pirmās kārtas sasniegtais rezultāts. Savukārt kolonnā “Gala vērtība” jānorāda rādītājs atbilstoši MK noteikumos plānotajam, izņemto gadījumu, ja pirmās kārtas ietvaros sasniegtais rādītājs (sākotnējā vērtība)  pārsniedz MK noteikumos plānotos rezultātus; šādā situācijā plānoto gala rezultātu nepasliktina un norāda projekta pirmās kārtas ietvaros sasniegto rezultātu.</w:t>
            </w:r>
          </w:p>
        </w:tc>
      </w:tr>
      <w:tr w:rsidR="00B67159" w:rsidRPr="00315625" w:rsidTr="00CD1BFE">
        <w:trPr>
          <w:trHeight w:val="284"/>
        </w:trPr>
        <w:tc>
          <w:tcPr>
            <w:tcW w:w="10632" w:type="dxa"/>
            <w:tcBorders>
              <w:left w:val="nil"/>
              <w:right w:val="nil"/>
            </w:tcBorders>
            <w:shd w:val="clear" w:color="auto" w:fill="FFFFFF" w:themeFill="background1"/>
          </w:tcPr>
          <w:p w:rsidR="00B67159" w:rsidRPr="00B520B9" w:rsidRDefault="00B67159" w:rsidP="00B520B9">
            <w:pPr>
              <w:jc w:val="both"/>
              <w:rPr>
                <w:rFonts w:ascii="Times New Roman" w:hAnsi="Times New Roman" w:cs="Times New Roman"/>
                <w:b/>
                <w:sz w:val="24"/>
                <w:szCs w:val="24"/>
              </w:rPr>
            </w:pPr>
          </w:p>
        </w:tc>
      </w:tr>
      <w:tr w:rsidR="00B67159" w:rsidRPr="00315625" w:rsidTr="00CD1BFE">
        <w:trPr>
          <w:trHeight w:val="491"/>
        </w:trPr>
        <w:tc>
          <w:tcPr>
            <w:tcW w:w="10632" w:type="dxa"/>
            <w:shd w:val="clear" w:color="auto" w:fill="D9D9D9" w:themeFill="background1" w:themeFillShade="D9"/>
          </w:tcPr>
          <w:p w:rsidR="00B67159" w:rsidRPr="00B67159" w:rsidRDefault="00B67159" w:rsidP="00762EAB">
            <w:pPr>
              <w:pStyle w:val="ListParagraph"/>
              <w:numPr>
                <w:ilvl w:val="0"/>
                <w:numId w:val="11"/>
              </w:numPr>
              <w:ind w:left="317"/>
              <w:jc w:val="both"/>
              <w:rPr>
                <w:b/>
              </w:rPr>
            </w:pPr>
            <w:r>
              <w:rPr>
                <w:b/>
              </w:rPr>
              <w:t>Jautājums: Vai jāpamato</w:t>
            </w:r>
            <w:r w:rsidR="00B41AEC">
              <w:rPr>
                <w:b/>
              </w:rPr>
              <w:t xml:space="preserve"> netiešās</w:t>
            </w:r>
            <w:r>
              <w:rPr>
                <w:b/>
              </w:rPr>
              <w:t xml:space="preserve"> izmaksas, kas norādītas projekta iesnieguma 3.pielikumā “Projekta budžeta kopsavilkums”?</w:t>
            </w:r>
          </w:p>
        </w:tc>
      </w:tr>
      <w:tr w:rsidR="00B67159" w:rsidRPr="00315625" w:rsidTr="00CD1BFE">
        <w:trPr>
          <w:trHeight w:val="491"/>
        </w:trPr>
        <w:tc>
          <w:tcPr>
            <w:tcW w:w="10632" w:type="dxa"/>
            <w:tcBorders>
              <w:bottom w:val="single" w:sz="4" w:space="0" w:color="auto"/>
            </w:tcBorders>
            <w:shd w:val="clear" w:color="auto" w:fill="FFFFFF" w:themeFill="background1"/>
          </w:tcPr>
          <w:p w:rsidR="00B67159" w:rsidRPr="00B67159" w:rsidRDefault="00B67159" w:rsidP="00B67159">
            <w:pPr>
              <w:jc w:val="both"/>
              <w:rPr>
                <w:b/>
              </w:rPr>
            </w:pPr>
            <w:r w:rsidRPr="00B67159">
              <w:rPr>
                <w:rFonts w:ascii="Times New Roman" w:hAnsi="Times New Roman" w:cs="Times New Roman"/>
                <w:b/>
                <w:sz w:val="24"/>
                <w:szCs w:val="24"/>
              </w:rPr>
              <w:t>Atbilde:</w:t>
            </w:r>
            <w:r>
              <w:rPr>
                <w:rFonts w:ascii="Times New Roman" w:hAnsi="Times New Roman" w:cs="Times New Roman"/>
                <w:sz w:val="24"/>
                <w:szCs w:val="24"/>
              </w:rPr>
              <w:t xml:space="preserve"> Atbilstoši projekta ie</w:t>
            </w:r>
            <w:r w:rsidRPr="00B67159">
              <w:rPr>
                <w:rFonts w:ascii="Times New Roman" w:hAnsi="Times New Roman" w:cs="Times New Roman"/>
                <w:sz w:val="24"/>
                <w:szCs w:val="24"/>
              </w:rPr>
              <w:t>s</w:t>
            </w:r>
            <w:r>
              <w:rPr>
                <w:rFonts w:ascii="Times New Roman" w:hAnsi="Times New Roman" w:cs="Times New Roman"/>
                <w:sz w:val="24"/>
                <w:szCs w:val="24"/>
              </w:rPr>
              <w:t>n</w:t>
            </w:r>
            <w:r w:rsidRPr="00B67159">
              <w:rPr>
                <w:rFonts w:ascii="Times New Roman" w:hAnsi="Times New Roman" w:cs="Times New Roman"/>
                <w:sz w:val="24"/>
                <w:szCs w:val="24"/>
              </w:rPr>
              <w:t>ieguma veidlapas aiz</w:t>
            </w:r>
            <w:r>
              <w:rPr>
                <w:rFonts w:ascii="Times New Roman" w:hAnsi="Times New Roman" w:cs="Times New Roman"/>
                <w:sz w:val="24"/>
                <w:szCs w:val="24"/>
              </w:rPr>
              <w:t>pildīšanas metodikā norādītajam</w:t>
            </w:r>
            <w:r w:rsidRPr="00B67159">
              <w:rPr>
                <w:rFonts w:ascii="Times New Roman" w:hAnsi="Times New Roman" w:cs="Times New Roman"/>
                <w:sz w:val="24"/>
                <w:szCs w:val="24"/>
              </w:rPr>
              <w:t xml:space="preserve"> izmaksas, kas ir iekļautas projekta iesnieguma 3.pielikuma “Projekta budžeta kopsavilkums” 1.pozīcijā “Netiešās izmaksas”, nav jāpamato, neatkarīgi no tā, vai tās ir, piemēram, telpu un iekārtu izmantošanas izmaksas vai iestādes vadības un atbalsta struktūrvienību izmaksas.</w:t>
            </w:r>
          </w:p>
        </w:tc>
      </w:tr>
      <w:tr w:rsidR="00E96066" w:rsidRPr="00315625" w:rsidTr="00CD1BFE">
        <w:trPr>
          <w:trHeight w:val="70"/>
        </w:trPr>
        <w:tc>
          <w:tcPr>
            <w:tcW w:w="10632" w:type="dxa"/>
            <w:tcBorders>
              <w:top w:val="single" w:sz="4" w:space="0" w:color="auto"/>
              <w:left w:val="nil"/>
              <w:bottom w:val="single" w:sz="4" w:space="0" w:color="auto"/>
              <w:right w:val="nil"/>
            </w:tcBorders>
            <w:shd w:val="clear" w:color="auto" w:fill="FFFFFF" w:themeFill="background1"/>
          </w:tcPr>
          <w:p w:rsidR="00E96066" w:rsidRPr="00B67159" w:rsidRDefault="00E96066" w:rsidP="00B67159">
            <w:pPr>
              <w:jc w:val="both"/>
              <w:rPr>
                <w:rFonts w:ascii="Times New Roman" w:hAnsi="Times New Roman" w:cs="Times New Roman"/>
                <w:b/>
                <w:sz w:val="24"/>
                <w:szCs w:val="24"/>
              </w:rPr>
            </w:pPr>
          </w:p>
        </w:tc>
      </w:tr>
      <w:tr w:rsidR="00E96066" w:rsidRPr="00315625" w:rsidTr="00CD1BFE">
        <w:trPr>
          <w:trHeight w:val="491"/>
        </w:trPr>
        <w:tc>
          <w:tcPr>
            <w:tcW w:w="10632" w:type="dxa"/>
            <w:shd w:val="clear" w:color="auto" w:fill="D9D9D9" w:themeFill="background1" w:themeFillShade="D9"/>
          </w:tcPr>
          <w:p w:rsidR="00E96066" w:rsidRPr="00B67159" w:rsidRDefault="00E96066" w:rsidP="00E96066">
            <w:pPr>
              <w:pStyle w:val="ListParagraph"/>
              <w:numPr>
                <w:ilvl w:val="0"/>
                <w:numId w:val="11"/>
              </w:numPr>
              <w:ind w:left="317"/>
              <w:jc w:val="both"/>
              <w:rPr>
                <w:b/>
              </w:rPr>
            </w:pPr>
            <w:r>
              <w:rPr>
                <w:b/>
              </w:rPr>
              <w:t>Jautājums: Kāds ir CFLA iesniegto maksājumu pieprasījumu izskatīšanas maksimālais termiņš?</w:t>
            </w:r>
          </w:p>
        </w:tc>
      </w:tr>
      <w:tr w:rsidR="00E96066" w:rsidRPr="00315625" w:rsidTr="00CD1BFE">
        <w:trPr>
          <w:trHeight w:val="491"/>
        </w:trPr>
        <w:tc>
          <w:tcPr>
            <w:tcW w:w="10632" w:type="dxa"/>
            <w:tcBorders>
              <w:bottom w:val="single" w:sz="4" w:space="0" w:color="auto"/>
            </w:tcBorders>
            <w:shd w:val="clear" w:color="auto" w:fill="FFFFFF" w:themeFill="background1"/>
          </w:tcPr>
          <w:p w:rsidR="00E96066" w:rsidRPr="00AA3898" w:rsidRDefault="00E96066" w:rsidP="008F710B">
            <w:pPr>
              <w:jc w:val="both"/>
              <w:rPr>
                <w:rFonts w:ascii="Times New Roman" w:hAnsi="Times New Roman" w:cs="Times New Roman"/>
                <w:sz w:val="24"/>
                <w:szCs w:val="24"/>
              </w:rPr>
            </w:pPr>
            <w:r w:rsidRPr="00AA3898">
              <w:rPr>
                <w:rFonts w:ascii="Times New Roman" w:hAnsi="Times New Roman" w:cs="Times New Roman"/>
                <w:b/>
                <w:sz w:val="24"/>
                <w:szCs w:val="24"/>
              </w:rPr>
              <w:t>Atbilde</w:t>
            </w:r>
            <w:r w:rsidR="00AA3898">
              <w:rPr>
                <w:rFonts w:ascii="Times New Roman" w:hAnsi="Times New Roman" w:cs="Times New Roman"/>
                <w:b/>
                <w:sz w:val="24"/>
                <w:szCs w:val="24"/>
              </w:rPr>
              <w:t xml:space="preserve"> </w:t>
            </w:r>
            <w:r w:rsidR="00AA3898" w:rsidRPr="00184EE3">
              <w:rPr>
                <w:rFonts w:ascii="Times New Roman" w:hAnsi="Times New Roman"/>
                <w:i/>
                <w:color w:val="FF0000"/>
                <w:sz w:val="24"/>
                <w:szCs w:val="24"/>
              </w:rPr>
              <w:t>(papildināta 1</w:t>
            </w:r>
            <w:r w:rsidR="008F710B">
              <w:rPr>
                <w:rFonts w:ascii="Times New Roman" w:hAnsi="Times New Roman"/>
                <w:i/>
                <w:color w:val="FF0000"/>
                <w:sz w:val="24"/>
                <w:szCs w:val="24"/>
              </w:rPr>
              <w:t>1</w:t>
            </w:r>
            <w:r w:rsidR="00AA3898" w:rsidRPr="00184EE3">
              <w:rPr>
                <w:rFonts w:ascii="Times New Roman" w:hAnsi="Times New Roman"/>
                <w:i/>
                <w:color w:val="FF0000"/>
                <w:sz w:val="24"/>
                <w:szCs w:val="24"/>
              </w:rPr>
              <w:t>.10.2018.)</w:t>
            </w:r>
            <w:r w:rsidRPr="00AA3898">
              <w:rPr>
                <w:rFonts w:ascii="Times New Roman" w:hAnsi="Times New Roman" w:cs="Times New Roman"/>
                <w:b/>
                <w:sz w:val="24"/>
                <w:szCs w:val="24"/>
              </w:rPr>
              <w:t xml:space="preserve">: </w:t>
            </w:r>
            <w:r w:rsidR="00AA3898" w:rsidRPr="0082323F">
              <w:rPr>
                <w:rFonts w:ascii="Times New Roman" w:hAnsi="Times New Roman" w:cs="Times New Roman"/>
                <w:sz w:val="24"/>
                <w:szCs w:val="24"/>
              </w:rPr>
              <w:t>Saskaņā ar 2015.gada 10.februāra Ministru kabineta noteikumu Nr.77 “</w:t>
            </w:r>
            <w:r w:rsidR="00AA3898" w:rsidRPr="0082323F">
              <w:rPr>
                <w:rFonts w:ascii="Times New Roman" w:hAnsi="Times New Roman" w:cs="Times New Roman"/>
                <w:bCs/>
                <w:sz w:val="24"/>
                <w:szCs w:val="24"/>
              </w:rPr>
              <w:t xml:space="preserve">Eiropas Savienības struktūrfondu un Kohēzijas fonda projektu pārbaužu veikšanas kārtība 2014.–2020.gada plānošanas periodā”  50.1.apakšpunktu starpposma </w:t>
            </w:r>
            <w:r w:rsidR="00AA3898" w:rsidRPr="0082323F">
              <w:rPr>
                <w:rFonts w:ascii="Times New Roman" w:hAnsi="Times New Roman" w:cs="Times New Roman"/>
                <w:sz w:val="24"/>
                <w:szCs w:val="24"/>
              </w:rPr>
              <w:t>maksājumu pieprasījumu izskatīšanas termiņš ir 20 darba dienas pēc starpposma maksājuma pieprasījuma saņemšanas. Ja maksājuma pieprasījumā iekļauto izdevumus pamatojošo dokumentu pārbaude tiek veikta izlases veidā, –  20 darbdienu laikā pēc visu pieprasīto izdevumus pamatojošo dokumentu saņemšanas. Savukārt, noslēguma MP izskatīšanas termiņš, saskaņā ar augstāk minēto MK noteikumu 50.2. apakšpunktu, ir 60 darba dienas</w:t>
            </w:r>
            <w:r w:rsidRPr="0082323F">
              <w:rPr>
                <w:rFonts w:ascii="Times New Roman" w:hAnsi="Times New Roman" w:cs="Times New Roman"/>
                <w:sz w:val="24"/>
                <w:szCs w:val="24"/>
              </w:rPr>
              <w:t>.</w:t>
            </w:r>
          </w:p>
        </w:tc>
      </w:tr>
    </w:tbl>
    <w:p w:rsidR="004C7134" w:rsidRDefault="004C7134">
      <w:r>
        <w:br w:type="page"/>
      </w:r>
    </w:p>
    <w:tbl>
      <w:tblPr>
        <w:tblStyle w:val="TableGrid"/>
        <w:tblW w:w="10632" w:type="dxa"/>
        <w:tblInd w:w="-1139" w:type="dxa"/>
        <w:tblLook w:val="04A0" w:firstRow="1" w:lastRow="0" w:firstColumn="1" w:lastColumn="0" w:noHBand="0" w:noVBand="1"/>
      </w:tblPr>
      <w:tblGrid>
        <w:gridCol w:w="10632"/>
      </w:tblGrid>
      <w:tr w:rsidR="0024670C" w:rsidRPr="00315625" w:rsidTr="004C7134">
        <w:trPr>
          <w:trHeight w:val="491"/>
        </w:trPr>
        <w:tc>
          <w:tcPr>
            <w:tcW w:w="10632" w:type="dxa"/>
            <w:shd w:val="clear" w:color="auto" w:fill="D9D9D9" w:themeFill="background1" w:themeFillShade="D9"/>
          </w:tcPr>
          <w:p w:rsidR="0024670C" w:rsidRPr="00B67159" w:rsidRDefault="0024670C" w:rsidP="0024670C">
            <w:pPr>
              <w:pStyle w:val="ListParagraph"/>
              <w:numPr>
                <w:ilvl w:val="0"/>
                <w:numId w:val="11"/>
              </w:numPr>
              <w:ind w:left="317"/>
              <w:jc w:val="both"/>
              <w:rPr>
                <w:b/>
              </w:rPr>
            </w:pPr>
            <w:r>
              <w:rPr>
                <w:b/>
              </w:rPr>
              <w:lastRenderedPageBreak/>
              <w:t>Jautājums: Kāpēc sadarbības partneris KP VIS neredz sagatavošanā esošo projekta iesniegumu?</w:t>
            </w:r>
          </w:p>
        </w:tc>
      </w:tr>
      <w:tr w:rsidR="0024670C" w:rsidRPr="00315625" w:rsidTr="004C7134">
        <w:trPr>
          <w:trHeight w:val="491"/>
        </w:trPr>
        <w:tc>
          <w:tcPr>
            <w:tcW w:w="10632" w:type="dxa"/>
            <w:tcBorders>
              <w:bottom w:val="single" w:sz="4" w:space="0" w:color="auto"/>
            </w:tcBorders>
            <w:shd w:val="clear" w:color="auto" w:fill="FFFFFF" w:themeFill="background1"/>
          </w:tcPr>
          <w:p w:rsidR="0024670C" w:rsidRPr="0024670C" w:rsidRDefault="0024670C" w:rsidP="00B67159">
            <w:pPr>
              <w:jc w:val="both"/>
              <w:rPr>
                <w:rFonts w:ascii="Times New Roman" w:hAnsi="Times New Roman" w:cs="Times New Roman"/>
                <w:sz w:val="24"/>
                <w:szCs w:val="24"/>
              </w:rPr>
            </w:pPr>
            <w:r>
              <w:rPr>
                <w:rFonts w:ascii="Times New Roman" w:hAnsi="Times New Roman" w:cs="Times New Roman"/>
                <w:b/>
                <w:sz w:val="24"/>
                <w:szCs w:val="24"/>
              </w:rPr>
              <w:t xml:space="preserve">Atbilde: </w:t>
            </w:r>
            <w:r w:rsidR="00F27CEE">
              <w:rPr>
                <w:rFonts w:ascii="Times New Roman" w:hAnsi="Times New Roman" w:cs="Times New Roman"/>
                <w:sz w:val="24"/>
                <w:szCs w:val="24"/>
              </w:rPr>
              <w:t xml:space="preserve">Parasti sagatavošanā esošos projektu iesniegumus redz tikai tie sistēmas lietotāji, kuriem ir piešķirtas lietošanas tiesības saskaņā ar noslēgtā līguma par KP VIS </w:t>
            </w:r>
            <w:r w:rsidR="00DC4724">
              <w:rPr>
                <w:rFonts w:ascii="Times New Roman" w:hAnsi="Times New Roman" w:cs="Times New Roman"/>
                <w:sz w:val="24"/>
                <w:szCs w:val="24"/>
              </w:rPr>
              <w:t xml:space="preserve">lietošanu </w:t>
            </w:r>
            <w:r w:rsidR="00F27CEE">
              <w:rPr>
                <w:rFonts w:ascii="Times New Roman" w:hAnsi="Times New Roman" w:cs="Times New Roman"/>
                <w:sz w:val="24"/>
                <w:szCs w:val="24"/>
              </w:rPr>
              <w:t>2.pielikumu</w:t>
            </w:r>
            <w:r w:rsidR="00DC4724">
              <w:rPr>
                <w:rFonts w:ascii="Times New Roman" w:hAnsi="Times New Roman" w:cs="Times New Roman"/>
                <w:sz w:val="24"/>
                <w:szCs w:val="24"/>
              </w:rPr>
              <w:t>.</w:t>
            </w:r>
          </w:p>
        </w:tc>
      </w:tr>
      <w:tr w:rsidR="00250EE6" w:rsidRPr="00315625" w:rsidTr="004C7134">
        <w:trPr>
          <w:trHeight w:val="113"/>
        </w:trPr>
        <w:tc>
          <w:tcPr>
            <w:tcW w:w="10632" w:type="dxa"/>
            <w:tcBorders>
              <w:left w:val="nil"/>
              <w:bottom w:val="nil"/>
              <w:right w:val="nil"/>
            </w:tcBorders>
            <w:shd w:val="clear" w:color="auto" w:fill="FFFFFF" w:themeFill="background1"/>
          </w:tcPr>
          <w:p w:rsidR="00250EE6" w:rsidRDefault="00250EE6" w:rsidP="00B67159">
            <w:pPr>
              <w:jc w:val="both"/>
              <w:rPr>
                <w:rFonts w:ascii="Times New Roman" w:hAnsi="Times New Roman" w:cs="Times New Roman"/>
                <w:b/>
                <w:sz w:val="24"/>
                <w:szCs w:val="24"/>
              </w:rPr>
            </w:pPr>
          </w:p>
        </w:tc>
      </w:tr>
      <w:tr w:rsidR="00250EE6" w:rsidRPr="00315625" w:rsidTr="004C7134">
        <w:trPr>
          <w:trHeight w:val="404"/>
        </w:trPr>
        <w:tc>
          <w:tcPr>
            <w:tcW w:w="10632" w:type="dxa"/>
            <w:shd w:val="clear" w:color="auto" w:fill="D9D9D9" w:themeFill="background1" w:themeFillShade="D9"/>
          </w:tcPr>
          <w:p w:rsidR="004C7134" w:rsidRPr="004C7134" w:rsidRDefault="004C7134" w:rsidP="004C7134">
            <w:pPr>
              <w:pStyle w:val="ListParagraph"/>
              <w:ind w:left="317"/>
              <w:jc w:val="right"/>
              <w:rPr>
                <w:rFonts w:cstheme="minorBidi"/>
              </w:rPr>
            </w:pPr>
            <w:r w:rsidRPr="00000124">
              <w:rPr>
                <w:bCs/>
                <w:i/>
                <w:color w:val="FF0000"/>
              </w:rPr>
              <w:t>Pievienots</w:t>
            </w:r>
            <w:r>
              <w:rPr>
                <w:i/>
                <w:color w:val="FF0000"/>
              </w:rPr>
              <w:t xml:space="preserve"> </w:t>
            </w:r>
            <w:r w:rsidRPr="00184EE3">
              <w:rPr>
                <w:i/>
                <w:color w:val="FF0000"/>
              </w:rPr>
              <w:t>1</w:t>
            </w:r>
            <w:r>
              <w:rPr>
                <w:i/>
                <w:color w:val="FF0000"/>
              </w:rPr>
              <w:t>1</w:t>
            </w:r>
            <w:r w:rsidRPr="00184EE3">
              <w:rPr>
                <w:i/>
                <w:color w:val="FF0000"/>
              </w:rPr>
              <w:t>.10.2018.</w:t>
            </w:r>
          </w:p>
          <w:p w:rsidR="00250EE6" w:rsidRPr="0051064A" w:rsidRDefault="0051064A" w:rsidP="0051064A">
            <w:pPr>
              <w:pStyle w:val="ListParagraph"/>
              <w:numPr>
                <w:ilvl w:val="0"/>
                <w:numId w:val="11"/>
              </w:numPr>
              <w:ind w:left="317"/>
              <w:rPr>
                <w:rFonts w:cstheme="minorBidi"/>
              </w:rPr>
            </w:pPr>
            <w:r w:rsidRPr="0051064A">
              <w:rPr>
                <w:b/>
                <w:bCs/>
              </w:rPr>
              <w:t xml:space="preserve">Jautājums: </w:t>
            </w:r>
            <w:r w:rsidRPr="0051064A">
              <w:t>Vai projektā jānorāda visas MK noteikumos norādītās atbalstāmās darbības?</w:t>
            </w:r>
          </w:p>
        </w:tc>
      </w:tr>
      <w:tr w:rsidR="00250EE6" w:rsidRPr="00315625" w:rsidTr="004C7134">
        <w:trPr>
          <w:trHeight w:val="107"/>
        </w:trPr>
        <w:tc>
          <w:tcPr>
            <w:tcW w:w="10632" w:type="dxa"/>
            <w:tcBorders>
              <w:bottom w:val="single" w:sz="4" w:space="0" w:color="auto"/>
            </w:tcBorders>
            <w:shd w:val="clear" w:color="auto" w:fill="FFFFFF" w:themeFill="background1"/>
          </w:tcPr>
          <w:p w:rsidR="00250EE6" w:rsidRDefault="0051064A" w:rsidP="00B67159">
            <w:pPr>
              <w:jc w:val="both"/>
              <w:rPr>
                <w:rFonts w:ascii="Times New Roman" w:hAnsi="Times New Roman" w:cs="Times New Roman"/>
                <w:b/>
                <w:sz w:val="24"/>
                <w:szCs w:val="24"/>
              </w:rPr>
            </w:pPr>
            <w:r>
              <w:rPr>
                <w:rFonts w:ascii="Times New Roman" w:hAnsi="Times New Roman"/>
                <w:b/>
                <w:bCs/>
                <w:sz w:val="24"/>
                <w:szCs w:val="24"/>
              </w:rPr>
              <w:t>Atbilde:</w:t>
            </w:r>
            <w:r>
              <w:rPr>
                <w:rFonts w:ascii="Times New Roman" w:hAnsi="Times New Roman"/>
                <w:sz w:val="24"/>
                <w:szCs w:val="24"/>
              </w:rPr>
              <w:t xml:space="preserve"> Projekta iesnieguma 1.5.punktā “Projekta darbības un sasniedzamie rezultāti” jānorāda tikai tādas projekta darbības, kurām projekta iesnieguma 3.pielikumā “Projekta budžeta kopsavilkums” paredzētas izmaksas un kuras pēc būtības atbilst MK noteikumos norādītajām.</w:t>
            </w:r>
          </w:p>
        </w:tc>
      </w:tr>
      <w:tr w:rsidR="00250EE6" w:rsidRPr="00315625" w:rsidTr="004C7134">
        <w:trPr>
          <w:trHeight w:val="70"/>
        </w:trPr>
        <w:tc>
          <w:tcPr>
            <w:tcW w:w="10632" w:type="dxa"/>
            <w:tcBorders>
              <w:left w:val="nil"/>
              <w:right w:val="nil"/>
            </w:tcBorders>
            <w:shd w:val="clear" w:color="auto" w:fill="FFFFFF" w:themeFill="background1"/>
          </w:tcPr>
          <w:p w:rsidR="00250EE6" w:rsidRDefault="00250EE6" w:rsidP="00B67159">
            <w:pPr>
              <w:jc w:val="both"/>
              <w:rPr>
                <w:rFonts w:ascii="Times New Roman" w:hAnsi="Times New Roman" w:cs="Times New Roman"/>
                <w:b/>
                <w:sz w:val="24"/>
                <w:szCs w:val="24"/>
              </w:rPr>
            </w:pPr>
          </w:p>
        </w:tc>
      </w:tr>
      <w:tr w:rsidR="00250EE6" w:rsidRPr="00315625" w:rsidTr="004C7134">
        <w:trPr>
          <w:trHeight w:val="416"/>
        </w:trPr>
        <w:tc>
          <w:tcPr>
            <w:tcW w:w="10632" w:type="dxa"/>
            <w:shd w:val="clear" w:color="auto" w:fill="D9D9D9" w:themeFill="background1" w:themeFillShade="D9"/>
          </w:tcPr>
          <w:p w:rsidR="004C7134" w:rsidRPr="004C7134" w:rsidRDefault="004C7134" w:rsidP="004C7134">
            <w:pPr>
              <w:pStyle w:val="ListParagraph"/>
              <w:ind w:left="317"/>
              <w:jc w:val="right"/>
              <w:rPr>
                <w:rFonts w:cstheme="minorBidi"/>
              </w:rPr>
            </w:pPr>
            <w:r w:rsidRPr="00000124">
              <w:rPr>
                <w:bCs/>
                <w:i/>
                <w:color w:val="FF0000"/>
              </w:rPr>
              <w:t>Pievienots</w:t>
            </w:r>
            <w:r>
              <w:rPr>
                <w:i/>
                <w:color w:val="FF0000"/>
              </w:rPr>
              <w:t xml:space="preserve"> </w:t>
            </w:r>
            <w:r w:rsidRPr="00184EE3">
              <w:rPr>
                <w:i/>
                <w:color w:val="FF0000"/>
              </w:rPr>
              <w:t>1</w:t>
            </w:r>
            <w:r>
              <w:rPr>
                <w:i/>
                <w:color w:val="FF0000"/>
              </w:rPr>
              <w:t>1</w:t>
            </w:r>
            <w:r w:rsidRPr="00184EE3">
              <w:rPr>
                <w:i/>
                <w:color w:val="FF0000"/>
              </w:rPr>
              <w:t>.10.2018.</w:t>
            </w:r>
          </w:p>
          <w:p w:rsidR="00250EE6" w:rsidRPr="002F5EE0" w:rsidRDefault="00F66EA8" w:rsidP="002F5EE0">
            <w:pPr>
              <w:pStyle w:val="ListParagraph"/>
              <w:numPr>
                <w:ilvl w:val="0"/>
                <w:numId w:val="11"/>
              </w:numPr>
              <w:ind w:left="317"/>
              <w:rPr>
                <w:rFonts w:cstheme="minorBidi"/>
              </w:rPr>
            </w:pPr>
            <w:r w:rsidRPr="002F5EE0">
              <w:rPr>
                <w:b/>
                <w:bCs/>
              </w:rPr>
              <w:t xml:space="preserve">Jautājums: </w:t>
            </w:r>
            <w:r w:rsidRPr="002F5EE0">
              <w:t>Vai projekta 1.6.punktā obligāti jānorāda visi rādītāji, kas norādīti MK noteikumos?</w:t>
            </w:r>
          </w:p>
        </w:tc>
      </w:tr>
      <w:tr w:rsidR="00250EE6" w:rsidRPr="00315625" w:rsidTr="004C7134">
        <w:trPr>
          <w:trHeight w:val="70"/>
        </w:trPr>
        <w:tc>
          <w:tcPr>
            <w:tcW w:w="10632" w:type="dxa"/>
            <w:tcBorders>
              <w:bottom w:val="single" w:sz="4" w:space="0" w:color="auto"/>
            </w:tcBorders>
            <w:shd w:val="clear" w:color="auto" w:fill="FFFFFF" w:themeFill="background1"/>
          </w:tcPr>
          <w:p w:rsidR="00F66EA8" w:rsidRDefault="00F66EA8" w:rsidP="002F5EE0">
            <w:pPr>
              <w:jc w:val="both"/>
              <w:rPr>
                <w:rFonts w:ascii="Times New Roman" w:hAnsi="Times New Roman"/>
                <w:sz w:val="24"/>
                <w:szCs w:val="24"/>
              </w:rPr>
            </w:pPr>
            <w:r>
              <w:rPr>
                <w:rFonts w:ascii="Times New Roman" w:hAnsi="Times New Roman"/>
                <w:b/>
                <w:bCs/>
                <w:sz w:val="24"/>
                <w:szCs w:val="24"/>
              </w:rPr>
              <w:t xml:space="preserve">Atbilde: </w:t>
            </w:r>
            <w:r>
              <w:rPr>
                <w:rFonts w:ascii="Times New Roman" w:hAnsi="Times New Roman"/>
                <w:sz w:val="24"/>
                <w:szCs w:val="24"/>
              </w:rPr>
              <w:t>Projekta iesnieguma 1.6.punktā “Projektā sasniedzamie uzraudzības rādītāji atbilstoši normatīvajos aktos par attiecīgā Eiropas Savienības fonda specifiskā atbalsta mērķa vai pasākuma īstenošanu norādītajam” jānorāda tikai tie projekta rezultāti, kas tieši izriet no projekta darbībām. AM 10.1.3., 11.1.1. un 12.1.1. ietvaros uz visiem iesniedzējiem attiecas rādītājs “Darbinieku skaits, kuru algas līdzfinansē TP” un “Darbinieku mainība”.</w:t>
            </w:r>
          </w:p>
          <w:p w:rsidR="00F66EA8" w:rsidRDefault="00F66EA8" w:rsidP="002F5EE0">
            <w:pPr>
              <w:jc w:val="both"/>
              <w:rPr>
                <w:rFonts w:ascii="Times New Roman" w:hAnsi="Times New Roman"/>
                <w:sz w:val="24"/>
                <w:szCs w:val="24"/>
              </w:rPr>
            </w:pPr>
            <w:r>
              <w:rPr>
                <w:rFonts w:ascii="Times New Roman" w:hAnsi="Times New Roman"/>
                <w:sz w:val="24"/>
                <w:szCs w:val="24"/>
              </w:rPr>
              <w:t xml:space="preserve">Papildus norādām ka, ja projektā projekta iesniedzējs neplāno projekta ietvaros organizēt seminārus, pasākumus vai apmācības, tad projekta iesnieguma 1.6.1.apakšpunktā “Iznākuma rādītāji” nav jānorāda rezultāts “KP fondu vadībā, īstenošanā un uzraudzībā iesaistīto personu, kas piedalījušies apmācībās, skaits”. </w:t>
            </w:r>
          </w:p>
          <w:p w:rsidR="00250EE6" w:rsidRDefault="00F66EA8" w:rsidP="002F5EE0">
            <w:pPr>
              <w:jc w:val="both"/>
              <w:rPr>
                <w:rFonts w:ascii="Times New Roman" w:hAnsi="Times New Roman" w:cs="Times New Roman"/>
                <w:b/>
                <w:sz w:val="24"/>
                <w:szCs w:val="24"/>
              </w:rPr>
            </w:pPr>
            <w:r>
              <w:rPr>
                <w:rFonts w:ascii="Times New Roman" w:hAnsi="Times New Roman"/>
                <w:sz w:val="24"/>
                <w:szCs w:val="24"/>
              </w:rPr>
              <w:t>Ja netiek plānots darbiniekus, kas iesaistīti projektā, sūtīt uz maksas apmācībām, lai viņi par projekta līdzekļiem paaugstina savu kapacitāti, tad projekta iesnieguma 1.6.2.apakšpunktā “Rezultāta rādītāji” nav jānorāda rezultāts rādītājam “KP fondu vadībā, īstenošanā un uzraudzībā iesaistīto personu skaits, kas paaugstinājuši savu kompetenci pēc atbalsta saņemšanas”, kā arī, ja persona tiks sūtīta, piemēram, uz Valsts kancelejas vai Valsts administrācijas skolas organizētajām bezmaksas mācībām, tad šādas personas paaugstinās savu kapacitāti Valsts kancelejas vai Valsts administrācijas skolas projekta ietvaros nevis projekta iesniedzēja TP projekta ietvaros.</w:t>
            </w:r>
          </w:p>
        </w:tc>
      </w:tr>
      <w:tr w:rsidR="00250EE6" w:rsidRPr="00315625" w:rsidTr="004C7134">
        <w:trPr>
          <w:trHeight w:val="70"/>
        </w:trPr>
        <w:tc>
          <w:tcPr>
            <w:tcW w:w="10632" w:type="dxa"/>
            <w:tcBorders>
              <w:left w:val="nil"/>
              <w:right w:val="nil"/>
            </w:tcBorders>
            <w:shd w:val="clear" w:color="auto" w:fill="FFFFFF" w:themeFill="background1"/>
          </w:tcPr>
          <w:p w:rsidR="00250EE6" w:rsidRDefault="00250EE6" w:rsidP="00B67159">
            <w:pPr>
              <w:jc w:val="both"/>
              <w:rPr>
                <w:rFonts w:ascii="Times New Roman" w:hAnsi="Times New Roman" w:cs="Times New Roman"/>
                <w:b/>
                <w:sz w:val="24"/>
                <w:szCs w:val="24"/>
              </w:rPr>
            </w:pPr>
          </w:p>
        </w:tc>
      </w:tr>
      <w:tr w:rsidR="00250EE6" w:rsidRPr="00315625" w:rsidTr="004C7134">
        <w:trPr>
          <w:trHeight w:val="655"/>
        </w:trPr>
        <w:tc>
          <w:tcPr>
            <w:tcW w:w="10632" w:type="dxa"/>
            <w:shd w:val="clear" w:color="auto" w:fill="D9D9D9" w:themeFill="background1" w:themeFillShade="D9"/>
          </w:tcPr>
          <w:p w:rsidR="004C7134" w:rsidRPr="004C7134" w:rsidRDefault="004C7134" w:rsidP="004C7134">
            <w:pPr>
              <w:pStyle w:val="ListParagraph"/>
              <w:ind w:left="317"/>
              <w:jc w:val="right"/>
              <w:rPr>
                <w:rFonts w:cstheme="minorBidi"/>
              </w:rPr>
            </w:pPr>
            <w:r w:rsidRPr="00000124">
              <w:rPr>
                <w:bCs/>
                <w:i/>
                <w:color w:val="FF0000"/>
              </w:rPr>
              <w:t>Pievienots</w:t>
            </w:r>
            <w:r>
              <w:rPr>
                <w:i/>
                <w:color w:val="FF0000"/>
              </w:rPr>
              <w:t xml:space="preserve"> </w:t>
            </w:r>
            <w:r w:rsidRPr="00184EE3">
              <w:rPr>
                <w:i/>
                <w:color w:val="FF0000"/>
              </w:rPr>
              <w:t>1</w:t>
            </w:r>
            <w:r>
              <w:rPr>
                <w:i/>
                <w:color w:val="FF0000"/>
              </w:rPr>
              <w:t>1</w:t>
            </w:r>
            <w:r w:rsidRPr="00184EE3">
              <w:rPr>
                <w:i/>
                <w:color w:val="FF0000"/>
              </w:rPr>
              <w:t>.10.2018.</w:t>
            </w:r>
          </w:p>
          <w:p w:rsidR="00250EE6" w:rsidRPr="00EA0E9F" w:rsidRDefault="00EA0E9F" w:rsidP="008E6132">
            <w:pPr>
              <w:pStyle w:val="ListParagraph"/>
              <w:numPr>
                <w:ilvl w:val="0"/>
                <w:numId w:val="11"/>
              </w:numPr>
              <w:ind w:left="317"/>
              <w:jc w:val="both"/>
              <w:rPr>
                <w:rFonts w:asciiTheme="minorHAnsi" w:hAnsiTheme="minorHAnsi" w:cstheme="minorBidi"/>
                <w:sz w:val="22"/>
                <w:szCs w:val="22"/>
              </w:rPr>
            </w:pPr>
            <w:r w:rsidRPr="008E6132">
              <w:rPr>
                <w:b/>
                <w:bCs/>
              </w:rPr>
              <w:t xml:space="preserve">Jautājums: </w:t>
            </w:r>
            <w:r w:rsidRPr="008E6132">
              <w:t xml:space="preserve">Vai PIV sadaļā 2.4. “Projekta risku </w:t>
            </w:r>
            <w:proofErr w:type="spellStart"/>
            <w:r w:rsidRPr="008E6132">
              <w:t>izvērtējums</w:t>
            </w:r>
            <w:proofErr w:type="spellEnd"/>
            <w:r w:rsidRPr="008E6132">
              <w:t>” ir jānorāda un tiks vērtēti riski ar zemu ietekmi un/vai zemu riska iestāšanās varbūtību?</w:t>
            </w:r>
          </w:p>
        </w:tc>
      </w:tr>
      <w:tr w:rsidR="00250EE6" w:rsidRPr="00315625" w:rsidTr="004C7134">
        <w:trPr>
          <w:trHeight w:val="70"/>
        </w:trPr>
        <w:tc>
          <w:tcPr>
            <w:tcW w:w="10632" w:type="dxa"/>
            <w:tcBorders>
              <w:bottom w:val="single" w:sz="4" w:space="0" w:color="auto"/>
            </w:tcBorders>
            <w:shd w:val="clear" w:color="auto" w:fill="FFFFFF" w:themeFill="background1"/>
          </w:tcPr>
          <w:p w:rsidR="008E6132" w:rsidRDefault="00EA0E9F" w:rsidP="00B67159">
            <w:pPr>
              <w:jc w:val="both"/>
              <w:rPr>
                <w:rFonts w:ascii="Times New Roman" w:hAnsi="Times New Roman"/>
                <w:sz w:val="24"/>
                <w:szCs w:val="24"/>
              </w:rPr>
            </w:pPr>
            <w:r>
              <w:rPr>
                <w:rFonts w:ascii="Times New Roman" w:hAnsi="Times New Roman"/>
                <w:b/>
                <w:bCs/>
                <w:sz w:val="24"/>
                <w:szCs w:val="24"/>
              </w:rPr>
              <w:t xml:space="preserve">Atbilde: </w:t>
            </w:r>
            <w:r>
              <w:rPr>
                <w:rFonts w:ascii="Times New Roman" w:hAnsi="Times New Roman"/>
                <w:sz w:val="24"/>
                <w:szCs w:val="24"/>
              </w:rPr>
              <w:t xml:space="preserve">Projekta iesnieguma 2.4.punktā “Projekta risku </w:t>
            </w:r>
            <w:proofErr w:type="spellStart"/>
            <w:r>
              <w:rPr>
                <w:rFonts w:ascii="Times New Roman" w:hAnsi="Times New Roman"/>
                <w:sz w:val="24"/>
                <w:szCs w:val="24"/>
              </w:rPr>
              <w:t>izvērtējums</w:t>
            </w:r>
            <w:proofErr w:type="spellEnd"/>
            <w:r>
              <w:rPr>
                <w:rFonts w:ascii="Times New Roman" w:hAnsi="Times New Roman"/>
                <w:sz w:val="24"/>
                <w:szCs w:val="24"/>
              </w:rPr>
              <w:t>” ir jānorāda visi obligātie projektu riski (finanšu risks, īstenošanas risks, rezultātu un uzraudzības rādītāju sasniegšanas risks, administrēšanas risks), arī riski ar zemu ietekmi un/vai zemu riska iestāšanās varbūtību. Norādām, ka nav pieļaujama situācija, ka kāds no iepriekš nosauktajiem riskiem nav izvērtēts vai uz projektu neattiecas, projektu riski tiek vērtēti pie projektu iesniegumu</w:t>
            </w:r>
            <w:r w:rsidR="008E6132">
              <w:rPr>
                <w:rFonts w:ascii="Times New Roman" w:hAnsi="Times New Roman"/>
                <w:sz w:val="24"/>
                <w:szCs w:val="24"/>
              </w:rPr>
              <w:t xml:space="preserve"> vērtēšanas kritērija Nr.1.17..</w:t>
            </w:r>
          </w:p>
          <w:p w:rsidR="00250EE6" w:rsidRDefault="00EA0E9F" w:rsidP="00B67159">
            <w:pPr>
              <w:jc w:val="both"/>
              <w:rPr>
                <w:rFonts w:ascii="Times New Roman" w:hAnsi="Times New Roman" w:cs="Times New Roman"/>
                <w:b/>
                <w:sz w:val="24"/>
                <w:szCs w:val="24"/>
              </w:rPr>
            </w:pPr>
            <w:r>
              <w:rPr>
                <w:rFonts w:ascii="Times New Roman" w:hAnsi="Times New Roman"/>
                <w:sz w:val="24"/>
                <w:szCs w:val="24"/>
              </w:rPr>
              <w:t>Projektu iesniegumu vērtēšanas kritēriju piemērošanas metodikā (projektu iesniegumu atlases nolikuma 4.pielikums) ir noteiktas prasības, kurām jāizpildās, lai projekts pie attiecīgā kritērija saņemtu vērtējumu “Jā” un tiktu apstiprināts bez nosacījumiem.</w:t>
            </w:r>
          </w:p>
        </w:tc>
      </w:tr>
      <w:tr w:rsidR="00250EE6" w:rsidRPr="00315625" w:rsidTr="004C7134">
        <w:trPr>
          <w:trHeight w:val="70"/>
        </w:trPr>
        <w:tc>
          <w:tcPr>
            <w:tcW w:w="10632" w:type="dxa"/>
            <w:tcBorders>
              <w:left w:val="nil"/>
              <w:right w:val="nil"/>
            </w:tcBorders>
            <w:shd w:val="clear" w:color="auto" w:fill="FFFFFF" w:themeFill="background1"/>
          </w:tcPr>
          <w:p w:rsidR="00250EE6" w:rsidRDefault="00250EE6" w:rsidP="00B67159">
            <w:pPr>
              <w:jc w:val="both"/>
              <w:rPr>
                <w:rFonts w:ascii="Times New Roman" w:hAnsi="Times New Roman" w:cs="Times New Roman"/>
                <w:b/>
                <w:sz w:val="24"/>
                <w:szCs w:val="24"/>
              </w:rPr>
            </w:pPr>
          </w:p>
        </w:tc>
      </w:tr>
      <w:tr w:rsidR="00250EE6" w:rsidRPr="00315625" w:rsidTr="004C7134">
        <w:trPr>
          <w:trHeight w:val="739"/>
        </w:trPr>
        <w:tc>
          <w:tcPr>
            <w:tcW w:w="10632" w:type="dxa"/>
            <w:shd w:val="clear" w:color="auto" w:fill="D9D9D9" w:themeFill="background1" w:themeFillShade="D9"/>
          </w:tcPr>
          <w:p w:rsidR="004C7134" w:rsidRPr="004C7134" w:rsidRDefault="004C7134" w:rsidP="004C7134">
            <w:pPr>
              <w:pStyle w:val="ListParagraph"/>
              <w:ind w:left="317"/>
              <w:jc w:val="right"/>
              <w:rPr>
                <w:rFonts w:cstheme="minorBidi"/>
              </w:rPr>
            </w:pPr>
            <w:r w:rsidRPr="00000124">
              <w:rPr>
                <w:bCs/>
                <w:i/>
                <w:color w:val="FF0000"/>
              </w:rPr>
              <w:t>Pievienots</w:t>
            </w:r>
            <w:r>
              <w:rPr>
                <w:i/>
                <w:color w:val="FF0000"/>
              </w:rPr>
              <w:t xml:space="preserve"> </w:t>
            </w:r>
            <w:r w:rsidRPr="00184EE3">
              <w:rPr>
                <w:i/>
                <w:color w:val="FF0000"/>
              </w:rPr>
              <w:t>1</w:t>
            </w:r>
            <w:r>
              <w:rPr>
                <w:i/>
                <w:color w:val="FF0000"/>
              </w:rPr>
              <w:t>1</w:t>
            </w:r>
            <w:r w:rsidRPr="00184EE3">
              <w:rPr>
                <w:i/>
                <w:color w:val="FF0000"/>
              </w:rPr>
              <w:t>.10.2018.</w:t>
            </w:r>
          </w:p>
          <w:p w:rsidR="00250EE6" w:rsidRPr="008E6132" w:rsidRDefault="0069057F" w:rsidP="008E6132">
            <w:pPr>
              <w:pStyle w:val="ListParagraph"/>
              <w:numPr>
                <w:ilvl w:val="0"/>
                <w:numId w:val="11"/>
              </w:numPr>
              <w:ind w:left="317"/>
              <w:jc w:val="both"/>
              <w:rPr>
                <w:rFonts w:cstheme="minorBidi"/>
              </w:rPr>
            </w:pPr>
            <w:r w:rsidRPr="008E6132">
              <w:rPr>
                <w:b/>
                <w:bCs/>
              </w:rPr>
              <w:t xml:space="preserve">Jautājums: </w:t>
            </w:r>
            <w:r w:rsidRPr="008E6132">
              <w:t>Vai esošie darbinieki, kas iesaistīti TP 1.kārtas projektā un pēc tam plānots tos iesaistīt arī 2.kārtas projektā, ir no iestādes jāatlaiž un pēc tam jāpieņem darbā atkārtoti?</w:t>
            </w:r>
          </w:p>
        </w:tc>
      </w:tr>
      <w:tr w:rsidR="00EA0E9F" w:rsidRPr="00315625" w:rsidTr="004C7134">
        <w:trPr>
          <w:trHeight w:val="70"/>
        </w:trPr>
        <w:tc>
          <w:tcPr>
            <w:tcW w:w="10632" w:type="dxa"/>
            <w:tcBorders>
              <w:bottom w:val="single" w:sz="4" w:space="0" w:color="auto"/>
            </w:tcBorders>
            <w:shd w:val="clear" w:color="auto" w:fill="FFFFFF" w:themeFill="background1"/>
          </w:tcPr>
          <w:p w:rsidR="00EA0E9F" w:rsidRDefault="0069057F" w:rsidP="00B67159">
            <w:pPr>
              <w:jc w:val="both"/>
              <w:rPr>
                <w:rFonts w:ascii="Times New Roman" w:hAnsi="Times New Roman" w:cs="Times New Roman"/>
                <w:b/>
                <w:sz w:val="24"/>
                <w:szCs w:val="24"/>
              </w:rPr>
            </w:pPr>
            <w:r>
              <w:rPr>
                <w:rFonts w:ascii="Times New Roman" w:hAnsi="Times New Roman"/>
                <w:b/>
                <w:bCs/>
                <w:sz w:val="24"/>
                <w:szCs w:val="24"/>
              </w:rPr>
              <w:t xml:space="preserve">Atbilde: </w:t>
            </w:r>
            <w:r>
              <w:rPr>
                <w:rFonts w:ascii="Times New Roman" w:hAnsi="Times New Roman"/>
                <w:sz w:val="24"/>
                <w:szCs w:val="24"/>
              </w:rPr>
              <w:t>Esošie darbinieki, kas iesaistīti TP 1.kārtas projektā, 1.kārtas projekta beigās nav jāatlaiž, ja plānots tos pašus darbiniekus iesaistīt arī 2.kārtas projektā. Darbinieku darba līgumos, rīkojumos u.c. saistītajā dokumentācijā nepieciešams veikt tikai attiecīgus grozījumus.</w:t>
            </w:r>
          </w:p>
        </w:tc>
      </w:tr>
    </w:tbl>
    <w:p w:rsidR="00CD1BFE" w:rsidRDefault="00CD1BFE">
      <w:r>
        <w:br w:type="page"/>
      </w:r>
    </w:p>
    <w:tbl>
      <w:tblPr>
        <w:tblStyle w:val="TableGrid"/>
        <w:tblW w:w="10632" w:type="dxa"/>
        <w:tblInd w:w="-1139" w:type="dxa"/>
        <w:tblLook w:val="04A0" w:firstRow="1" w:lastRow="0" w:firstColumn="1" w:lastColumn="0" w:noHBand="0" w:noVBand="1"/>
      </w:tblPr>
      <w:tblGrid>
        <w:gridCol w:w="10632"/>
      </w:tblGrid>
      <w:tr w:rsidR="00EA0E9F" w:rsidRPr="00315625" w:rsidTr="00CD1BFE">
        <w:trPr>
          <w:trHeight w:val="1842"/>
        </w:trPr>
        <w:tc>
          <w:tcPr>
            <w:tcW w:w="10632" w:type="dxa"/>
            <w:shd w:val="clear" w:color="auto" w:fill="D9D9D9" w:themeFill="background1" w:themeFillShade="D9"/>
          </w:tcPr>
          <w:p w:rsidR="004C7134" w:rsidRPr="004C7134" w:rsidRDefault="004C7134" w:rsidP="004C7134">
            <w:pPr>
              <w:pStyle w:val="ListParagraph"/>
              <w:ind w:left="317"/>
              <w:jc w:val="right"/>
              <w:rPr>
                <w:rFonts w:cstheme="minorBidi"/>
              </w:rPr>
            </w:pPr>
            <w:r w:rsidRPr="00000124">
              <w:rPr>
                <w:bCs/>
                <w:i/>
                <w:color w:val="FF0000"/>
              </w:rPr>
              <w:lastRenderedPageBreak/>
              <w:t>Pievienots</w:t>
            </w:r>
            <w:r>
              <w:rPr>
                <w:i/>
                <w:color w:val="FF0000"/>
              </w:rPr>
              <w:t xml:space="preserve"> </w:t>
            </w:r>
            <w:r w:rsidRPr="00184EE3">
              <w:rPr>
                <w:i/>
                <w:color w:val="FF0000"/>
              </w:rPr>
              <w:t>1</w:t>
            </w:r>
            <w:r>
              <w:rPr>
                <w:i/>
                <w:color w:val="FF0000"/>
              </w:rPr>
              <w:t>1</w:t>
            </w:r>
            <w:r w:rsidRPr="00184EE3">
              <w:rPr>
                <w:i/>
                <w:color w:val="FF0000"/>
              </w:rPr>
              <w:t>.10.2018.</w:t>
            </w:r>
          </w:p>
          <w:p w:rsidR="00EA0E9F" w:rsidRPr="008E6132" w:rsidRDefault="008E6132" w:rsidP="008E6132">
            <w:pPr>
              <w:pStyle w:val="ListParagraph"/>
              <w:numPr>
                <w:ilvl w:val="0"/>
                <w:numId w:val="11"/>
              </w:numPr>
              <w:ind w:left="317"/>
              <w:jc w:val="both"/>
              <w:rPr>
                <w:rFonts w:cstheme="minorBidi"/>
              </w:rPr>
            </w:pPr>
            <w:r w:rsidRPr="008E6132">
              <w:rPr>
                <w:b/>
                <w:bCs/>
              </w:rPr>
              <w:t xml:space="preserve">Jautājums: </w:t>
            </w:r>
            <w:r w:rsidRPr="008E6132">
              <w:t>Ņemot vērā, MK noteikumu saskaņošanas procesā tika identificēts, ka iestādei ir piešķirts nepietiekams finansējums, ko mēs arī redzam rakstot šobrīd projekta iesniegumu un gatavojot budžeta sadaļu, un ka TP finansējums no MK noteikumos paredzētajām tiešajām izmaksām pietiek tikai atlīdzībai projekta īstenošanas personālam, un pārējās iespēju robežās tiks īstenotas zem netiešajām izmaksām. Vai ir iespējams, ka projekta kopsavilkumā, vai pie finanšu riskiem norāda, ka ir un būs nepieciešams papildu finansējums, lai savlaicīgi norādītu, ka papildus finansējums pie pārdales būs nepieciešams?</w:t>
            </w:r>
          </w:p>
        </w:tc>
      </w:tr>
      <w:tr w:rsidR="00250EE6" w:rsidRPr="00315625" w:rsidTr="00CD1BFE">
        <w:trPr>
          <w:trHeight w:val="70"/>
        </w:trPr>
        <w:tc>
          <w:tcPr>
            <w:tcW w:w="10632" w:type="dxa"/>
            <w:shd w:val="clear" w:color="auto" w:fill="FFFFFF" w:themeFill="background1"/>
          </w:tcPr>
          <w:p w:rsidR="00250EE6" w:rsidRDefault="008E6132" w:rsidP="008E6132">
            <w:pPr>
              <w:jc w:val="both"/>
              <w:rPr>
                <w:rFonts w:ascii="Times New Roman" w:hAnsi="Times New Roman" w:cs="Times New Roman"/>
                <w:b/>
                <w:sz w:val="24"/>
                <w:szCs w:val="24"/>
              </w:rPr>
            </w:pPr>
            <w:r>
              <w:rPr>
                <w:rFonts w:ascii="Times New Roman" w:hAnsi="Times New Roman"/>
                <w:b/>
                <w:bCs/>
                <w:sz w:val="24"/>
                <w:szCs w:val="24"/>
              </w:rPr>
              <w:t xml:space="preserve">Atbilde: </w:t>
            </w:r>
            <w:r>
              <w:rPr>
                <w:rFonts w:ascii="Times New Roman" w:hAnsi="Times New Roman"/>
                <w:sz w:val="24"/>
                <w:szCs w:val="24"/>
              </w:rPr>
              <w:t>Projekta iesniegumā šāda veida informāciju šobrīd nav nepieciešams norādīt, bet ja tomēr gribat, tad tā būtu norādāma projekta iesnieguma 1.3.punktā “Problēmas un risinājuma apraksts, t.sk. mērķa grupu problēmu un risinājumu apraksts”.</w:t>
            </w:r>
          </w:p>
        </w:tc>
      </w:tr>
    </w:tbl>
    <w:p w:rsidR="008A427B" w:rsidRDefault="004C7134"/>
    <w:sectPr w:rsidR="008A42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1EC9"/>
    <w:multiLevelType w:val="hybridMultilevel"/>
    <w:tmpl w:val="B22E3A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7F35D1"/>
    <w:multiLevelType w:val="multilevel"/>
    <w:tmpl w:val="978EC4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90759AD"/>
    <w:multiLevelType w:val="hybridMultilevel"/>
    <w:tmpl w:val="A7DE58F6"/>
    <w:lvl w:ilvl="0" w:tplc="C512EF4A">
      <w:start w:val="2018"/>
      <w:numFmt w:val="bullet"/>
      <w:lvlText w:val="-"/>
      <w:lvlJc w:val="left"/>
      <w:pPr>
        <w:ind w:left="720" w:hanging="360"/>
      </w:pPr>
      <w:rPr>
        <w:rFonts w:ascii="Calibri" w:eastAsia="Calibri" w:hAnsi="Calibri"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EFC551C"/>
    <w:multiLevelType w:val="hybridMultilevel"/>
    <w:tmpl w:val="B22E3A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0B74609"/>
    <w:multiLevelType w:val="hybridMultilevel"/>
    <w:tmpl w:val="C1960B32"/>
    <w:lvl w:ilvl="0" w:tplc="E39A3824">
      <w:start w:val="1"/>
      <w:numFmt w:val="decimal"/>
      <w:lvlText w:val="%1."/>
      <w:lvlJc w:val="left"/>
      <w:pPr>
        <w:ind w:left="720" w:hanging="360"/>
      </w:pPr>
      <w:rPr>
        <w:rFonts w:ascii="Times New Roman" w:hAnsi="Times New Roman" w:cs="Times New Roman" w:hint="default"/>
        <w:b/>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406565"/>
    <w:multiLevelType w:val="hybridMultilevel"/>
    <w:tmpl w:val="03B47B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131EB4"/>
    <w:multiLevelType w:val="hybridMultilevel"/>
    <w:tmpl w:val="DE96E3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66A11DA"/>
    <w:multiLevelType w:val="hybridMultilevel"/>
    <w:tmpl w:val="490A69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75B2DBE"/>
    <w:multiLevelType w:val="multilevel"/>
    <w:tmpl w:val="06A06F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4D6CE6"/>
    <w:multiLevelType w:val="hybridMultilevel"/>
    <w:tmpl w:val="B22E3A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3"/>
  </w:num>
  <w:num w:numId="5">
    <w:abstractNumId w:val="2"/>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F7"/>
    <w:rsid w:val="00000548"/>
    <w:rsid w:val="00010A33"/>
    <w:rsid w:val="00083C84"/>
    <w:rsid w:val="00092096"/>
    <w:rsid w:val="000E16C1"/>
    <w:rsid w:val="001067CB"/>
    <w:rsid w:val="00156373"/>
    <w:rsid w:val="00184EE3"/>
    <w:rsid w:val="001F5C62"/>
    <w:rsid w:val="0024670C"/>
    <w:rsid w:val="00250EE6"/>
    <w:rsid w:val="002713B4"/>
    <w:rsid w:val="00290F94"/>
    <w:rsid w:val="002A2233"/>
    <w:rsid w:val="002B7954"/>
    <w:rsid w:val="002F5EE0"/>
    <w:rsid w:val="0030512D"/>
    <w:rsid w:val="00315625"/>
    <w:rsid w:val="003425AD"/>
    <w:rsid w:val="00374965"/>
    <w:rsid w:val="003A5C8A"/>
    <w:rsid w:val="003C7726"/>
    <w:rsid w:val="003F641E"/>
    <w:rsid w:val="00475567"/>
    <w:rsid w:val="004A0DCA"/>
    <w:rsid w:val="004C7134"/>
    <w:rsid w:val="004E7A75"/>
    <w:rsid w:val="0051064A"/>
    <w:rsid w:val="00531DA6"/>
    <w:rsid w:val="00537A72"/>
    <w:rsid w:val="00585B59"/>
    <w:rsid w:val="00595D91"/>
    <w:rsid w:val="00625709"/>
    <w:rsid w:val="00664090"/>
    <w:rsid w:val="0069057F"/>
    <w:rsid w:val="00690A99"/>
    <w:rsid w:val="006D42CA"/>
    <w:rsid w:val="007264A1"/>
    <w:rsid w:val="00746EA7"/>
    <w:rsid w:val="00762EAB"/>
    <w:rsid w:val="00796DC5"/>
    <w:rsid w:val="007D4739"/>
    <w:rsid w:val="0082323F"/>
    <w:rsid w:val="008912E3"/>
    <w:rsid w:val="008E6132"/>
    <w:rsid w:val="008F710B"/>
    <w:rsid w:val="00912B9A"/>
    <w:rsid w:val="0097481C"/>
    <w:rsid w:val="00976405"/>
    <w:rsid w:val="00995C8C"/>
    <w:rsid w:val="00997F04"/>
    <w:rsid w:val="009B2768"/>
    <w:rsid w:val="009C6A07"/>
    <w:rsid w:val="00A13B65"/>
    <w:rsid w:val="00A82843"/>
    <w:rsid w:val="00AA3898"/>
    <w:rsid w:val="00AD6D80"/>
    <w:rsid w:val="00B12C45"/>
    <w:rsid w:val="00B41AEC"/>
    <w:rsid w:val="00B520B9"/>
    <w:rsid w:val="00B539B2"/>
    <w:rsid w:val="00B67159"/>
    <w:rsid w:val="00BA7E59"/>
    <w:rsid w:val="00BD6D93"/>
    <w:rsid w:val="00BD7E6B"/>
    <w:rsid w:val="00C02B19"/>
    <w:rsid w:val="00C31E22"/>
    <w:rsid w:val="00C357CE"/>
    <w:rsid w:val="00C72339"/>
    <w:rsid w:val="00C76415"/>
    <w:rsid w:val="00C84D38"/>
    <w:rsid w:val="00CB46AB"/>
    <w:rsid w:val="00CB57F7"/>
    <w:rsid w:val="00CB79FD"/>
    <w:rsid w:val="00CC6735"/>
    <w:rsid w:val="00CD1BFE"/>
    <w:rsid w:val="00D11ABA"/>
    <w:rsid w:val="00D52684"/>
    <w:rsid w:val="00D5477F"/>
    <w:rsid w:val="00D55E4B"/>
    <w:rsid w:val="00DC4484"/>
    <w:rsid w:val="00DC4724"/>
    <w:rsid w:val="00DD7977"/>
    <w:rsid w:val="00E96066"/>
    <w:rsid w:val="00EA0E9F"/>
    <w:rsid w:val="00EA4CB1"/>
    <w:rsid w:val="00F00C53"/>
    <w:rsid w:val="00F15E00"/>
    <w:rsid w:val="00F27CEE"/>
    <w:rsid w:val="00F36AEC"/>
    <w:rsid w:val="00F66EA8"/>
    <w:rsid w:val="00F953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7D50C-D7EA-4B54-B0EA-8F9A1854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F7"/>
  </w:style>
  <w:style w:type="paragraph" w:styleId="Heading2">
    <w:name w:val="heading 2"/>
    <w:basedOn w:val="Normal"/>
    <w:next w:val="Normal"/>
    <w:link w:val="Heading2Char"/>
    <w:uiPriority w:val="9"/>
    <w:unhideWhenUsed/>
    <w:qFormat/>
    <w:rsid w:val="00CC6735"/>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090"/>
    <w:rPr>
      <w:color w:val="0563C1"/>
      <w:u w:val="single"/>
    </w:rPr>
  </w:style>
  <w:style w:type="paragraph" w:styleId="ListParagraph">
    <w:name w:val="List Paragraph"/>
    <w:basedOn w:val="Normal"/>
    <w:uiPriority w:val="34"/>
    <w:qFormat/>
    <w:rsid w:val="00912B9A"/>
    <w:pPr>
      <w:spacing w:after="0" w:line="240" w:lineRule="auto"/>
      <w:ind w:left="720"/>
    </w:pPr>
    <w:rPr>
      <w:rFonts w:ascii="Times New Roman" w:hAnsi="Times New Roman" w:cs="Times New Roman"/>
      <w:sz w:val="24"/>
      <w:szCs w:val="24"/>
      <w:lang w:eastAsia="lv-LV"/>
    </w:rPr>
  </w:style>
  <w:style w:type="character" w:customStyle="1" w:styleId="Heading2Char">
    <w:name w:val="Heading 2 Char"/>
    <w:basedOn w:val="DefaultParagraphFont"/>
    <w:link w:val="Heading2"/>
    <w:uiPriority w:val="9"/>
    <w:rsid w:val="00CC6735"/>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79">
      <w:bodyDiv w:val="1"/>
      <w:marLeft w:val="0"/>
      <w:marRight w:val="0"/>
      <w:marTop w:val="0"/>
      <w:marBottom w:val="0"/>
      <w:divBdr>
        <w:top w:val="none" w:sz="0" w:space="0" w:color="auto"/>
        <w:left w:val="none" w:sz="0" w:space="0" w:color="auto"/>
        <w:bottom w:val="none" w:sz="0" w:space="0" w:color="auto"/>
        <w:right w:val="none" w:sz="0" w:space="0" w:color="auto"/>
      </w:divBdr>
    </w:div>
    <w:div w:id="103814164">
      <w:bodyDiv w:val="1"/>
      <w:marLeft w:val="0"/>
      <w:marRight w:val="0"/>
      <w:marTop w:val="0"/>
      <w:marBottom w:val="0"/>
      <w:divBdr>
        <w:top w:val="none" w:sz="0" w:space="0" w:color="auto"/>
        <w:left w:val="none" w:sz="0" w:space="0" w:color="auto"/>
        <w:bottom w:val="none" w:sz="0" w:space="0" w:color="auto"/>
        <w:right w:val="none" w:sz="0" w:space="0" w:color="auto"/>
      </w:divBdr>
    </w:div>
    <w:div w:id="222525475">
      <w:bodyDiv w:val="1"/>
      <w:marLeft w:val="0"/>
      <w:marRight w:val="0"/>
      <w:marTop w:val="0"/>
      <w:marBottom w:val="0"/>
      <w:divBdr>
        <w:top w:val="none" w:sz="0" w:space="0" w:color="auto"/>
        <w:left w:val="none" w:sz="0" w:space="0" w:color="auto"/>
        <w:bottom w:val="none" w:sz="0" w:space="0" w:color="auto"/>
        <w:right w:val="none" w:sz="0" w:space="0" w:color="auto"/>
      </w:divBdr>
    </w:div>
    <w:div w:id="231040162">
      <w:bodyDiv w:val="1"/>
      <w:marLeft w:val="0"/>
      <w:marRight w:val="0"/>
      <w:marTop w:val="0"/>
      <w:marBottom w:val="0"/>
      <w:divBdr>
        <w:top w:val="none" w:sz="0" w:space="0" w:color="auto"/>
        <w:left w:val="none" w:sz="0" w:space="0" w:color="auto"/>
        <w:bottom w:val="none" w:sz="0" w:space="0" w:color="auto"/>
        <w:right w:val="none" w:sz="0" w:space="0" w:color="auto"/>
      </w:divBdr>
    </w:div>
    <w:div w:id="382952647">
      <w:bodyDiv w:val="1"/>
      <w:marLeft w:val="0"/>
      <w:marRight w:val="0"/>
      <w:marTop w:val="0"/>
      <w:marBottom w:val="0"/>
      <w:divBdr>
        <w:top w:val="none" w:sz="0" w:space="0" w:color="auto"/>
        <w:left w:val="none" w:sz="0" w:space="0" w:color="auto"/>
        <w:bottom w:val="none" w:sz="0" w:space="0" w:color="auto"/>
        <w:right w:val="none" w:sz="0" w:space="0" w:color="auto"/>
      </w:divBdr>
    </w:div>
    <w:div w:id="394818680">
      <w:bodyDiv w:val="1"/>
      <w:marLeft w:val="0"/>
      <w:marRight w:val="0"/>
      <w:marTop w:val="0"/>
      <w:marBottom w:val="0"/>
      <w:divBdr>
        <w:top w:val="none" w:sz="0" w:space="0" w:color="auto"/>
        <w:left w:val="none" w:sz="0" w:space="0" w:color="auto"/>
        <w:bottom w:val="none" w:sz="0" w:space="0" w:color="auto"/>
        <w:right w:val="none" w:sz="0" w:space="0" w:color="auto"/>
      </w:divBdr>
    </w:div>
    <w:div w:id="547954113">
      <w:bodyDiv w:val="1"/>
      <w:marLeft w:val="0"/>
      <w:marRight w:val="0"/>
      <w:marTop w:val="0"/>
      <w:marBottom w:val="0"/>
      <w:divBdr>
        <w:top w:val="none" w:sz="0" w:space="0" w:color="auto"/>
        <w:left w:val="none" w:sz="0" w:space="0" w:color="auto"/>
        <w:bottom w:val="none" w:sz="0" w:space="0" w:color="auto"/>
        <w:right w:val="none" w:sz="0" w:space="0" w:color="auto"/>
      </w:divBdr>
    </w:div>
    <w:div w:id="552348675">
      <w:bodyDiv w:val="1"/>
      <w:marLeft w:val="0"/>
      <w:marRight w:val="0"/>
      <w:marTop w:val="0"/>
      <w:marBottom w:val="0"/>
      <w:divBdr>
        <w:top w:val="none" w:sz="0" w:space="0" w:color="auto"/>
        <w:left w:val="none" w:sz="0" w:space="0" w:color="auto"/>
        <w:bottom w:val="none" w:sz="0" w:space="0" w:color="auto"/>
        <w:right w:val="none" w:sz="0" w:space="0" w:color="auto"/>
      </w:divBdr>
    </w:div>
    <w:div w:id="596181623">
      <w:bodyDiv w:val="1"/>
      <w:marLeft w:val="0"/>
      <w:marRight w:val="0"/>
      <w:marTop w:val="0"/>
      <w:marBottom w:val="0"/>
      <w:divBdr>
        <w:top w:val="none" w:sz="0" w:space="0" w:color="auto"/>
        <w:left w:val="none" w:sz="0" w:space="0" w:color="auto"/>
        <w:bottom w:val="none" w:sz="0" w:space="0" w:color="auto"/>
        <w:right w:val="none" w:sz="0" w:space="0" w:color="auto"/>
      </w:divBdr>
    </w:div>
    <w:div w:id="644503575">
      <w:bodyDiv w:val="1"/>
      <w:marLeft w:val="0"/>
      <w:marRight w:val="0"/>
      <w:marTop w:val="0"/>
      <w:marBottom w:val="0"/>
      <w:divBdr>
        <w:top w:val="none" w:sz="0" w:space="0" w:color="auto"/>
        <w:left w:val="none" w:sz="0" w:space="0" w:color="auto"/>
        <w:bottom w:val="none" w:sz="0" w:space="0" w:color="auto"/>
        <w:right w:val="none" w:sz="0" w:space="0" w:color="auto"/>
      </w:divBdr>
    </w:div>
    <w:div w:id="692999592">
      <w:bodyDiv w:val="1"/>
      <w:marLeft w:val="0"/>
      <w:marRight w:val="0"/>
      <w:marTop w:val="0"/>
      <w:marBottom w:val="0"/>
      <w:divBdr>
        <w:top w:val="none" w:sz="0" w:space="0" w:color="auto"/>
        <w:left w:val="none" w:sz="0" w:space="0" w:color="auto"/>
        <w:bottom w:val="none" w:sz="0" w:space="0" w:color="auto"/>
        <w:right w:val="none" w:sz="0" w:space="0" w:color="auto"/>
      </w:divBdr>
    </w:div>
    <w:div w:id="874463211">
      <w:bodyDiv w:val="1"/>
      <w:marLeft w:val="0"/>
      <w:marRight w:val="0"/>
      <w:marTop w:val="0"/>
      <w:marBottom w:val="0"/>
      <w:divBdr>
        <w:top w:val="none" w:sz="0" w:space="0" w:color="auto"/>
        <w:left w:val="none" w:sz="0" w:space="0" w:color="auto"/>
        <w:bottom w:val="none" w:sz="0" w:space="0" w:color="auto"/>
        <w:right w:val="none" w:sz="0" w:space="0" w:color="auto"/>
      </w:divBdr>
    </w:div>
    <w:div w:id="906719874">
      <w:bodyDiv w:val="1"/>
      <w:marLeft w:val="0"/>
      <w:marRight w:val="0"/>
      <w:marTop w:val="0"/>
      <w:marBottom w:val="0"/>
      <w:divBdr>
        <w:top w:val="none" w:sz="0" w:space="0" w:color="auto"/>
        <w:left w:val="none" w:sz="0" w:space="0" w:color="auto"/>
        <w:bottom w:val="none" w:sz="0" w:space="0" w:color="auto"/>
        <w:right w:val="none" w:sz="0" w:space="0" w:color="auto"/>
      </w:divBdr>
    </w:div>
    <w:div w:id="945505438">
      <w:bodyDiv w:val="1"/>
      <w:marLeft w:val="0"/>
      <w:marRight w:val="0"/>
      <w:marTop w:val="0"/>
      <w:marBottom w:val="0"/>
      <w:divBdr>
        <w:top w:val="none" w:sz="0" w:space="0" w:color="auto"/>
        <w:left w:val="none" w:sz="0" w:space="0" w:color="auto"/>
        <w:bottom w:val="none" w:sz="0" w:space="0" w:color="auto"/>
        <w:right w:val="none" w:sz="0" w:space="0" w:color="auto"/>
      </w:divBdr>
    </w:div>
    <w:div w:id="964233718">
      <w:bodyDiv w:val="1"/>
      <w:marLeft w:val="0"/>
      <w:marRight w:val="0"/>
      <w:marTop w:val="0"/>
      <w:marBottom w:val="0"/>
      <w:divBdr>
        <w:top w:val="none" w:sz="0" w:space="0" w:color="auto"/>
        <w:left w:val="none" w:sz="0" w:space="0" w:color="auto"/>
        <w:bottom w:val="none" w:sz="0" w:space="0" w:color="auto"/>
        <w:right w:val="none" w:sz="0" w:space="0" w:color="auto"/>
      </w:divBdr>
    </w:div>
    <w:div w:id="1043100072">
      <w:bodyDiv w:val="1"/>
      <w:marLeft w:val="0"/>
      <w:marRight w:val="0"/>
      <w:marTop w:val="0"/>
      <w:marBottom w:val="0"/>
      <w:divBdr>
        <w:top w:val="none" w:sz="0" w:space="0" w:color="auto"/>
        <w:left w:val="none" w:sz="0" w:space="0" w:color="auto"/>
        <w:bottom w:val="none" w:sz="0" w:space="0" w:color="auto"/>
        <w:right w:val="none" w:sz="0" w:space="0" w:color="auto"/>
      </w:divBdr>
    </w:div>
    <w:div w:id="1064134349">
      <w:bodyDiv w:val="1"/>
      <w:marLeft w:val="0"/>
      <w:marRight w:val="0"/>
      <w:marTop w:val="0"/>
      <w:marBottom w:val="0"/>
      <w:divBdr>
        <w:top w:val="none" w:sz="0" w:space="0" w:color="auto"/>
        <w:left w:val="none" w:sz="0" w:space="0" w:color="auto"/>
        <w:bottom w:val="none" w:sz="0" w:space="0" w:color="auto"/>
        <w:right w:val="none" w:sz="0" w:space="0" w:color="auto"/>
      </w:divBdr>
    </w:div>
    <w:div w:id="1367634334">
      <w:bodyDiv w:val="1"/>
      <w:marLeft w:val="0"/>
      <w:marRight w:val="0"/>
      <w:marTop w:val="0"/>
      <w:marBottom w:val="0"/>
      <w:divBdr>
        <w:top w:val="none" w:sz="0" w:space="0" w:color="auto"/>
        <w:left w:val="none" w:sz="0" w:space="0" w:color="auto"/>
        <w:bottom w:val="none" w:sz="0" w:space="0" w:color="auto"/>
        <w:right w:val="none" w:sz="0" w:space="0" w:color="auto"/>
      </w:divBdr>
    </w:div>
    <w:div w:id="1414085605">
      <w:bodyDiv w:val="1"/>
      <w:marLeft w:val="0"/>
      <w:marRight w:val="0"/>
      <w:marTop w:val="0"/>
      <w:marBottom w:val="0"/>
      <w:divBdr>
        <w:top w:val="none" w:sz="0" w:space="0" w:color="auto"/>
        <w:left w:val="none" w:sz="0" w:space="0" w:color="auto"/>
        <w:bottom w:val="none" w:sz="0" w:space="0" w:color="auto"/>
        <w:right w:val="none" w:sz="0" w:space="0" w:color="auto"/>
      </w:divBdr>
    </w:div>
    <w:div w:id="1605529929">
      <w:bodyDiv w:val="1"/>
      <w:marLeft w:val="0"/>
      <w:marRight w:val="0"/>
      <w:marTop w:val="0"/>
      <w:marBottom w:val="0"/>
      <w:divBdr>
        <w:top w:val="none" w:sz="0" w:space="0" w:color="auto"/>
        <w:left w:val="none" w:sz="0" w:space="0" w:color="auto"/>
        <w:bottom w:val="none" w:sz="0" w:space="0" w:color="auto"/>
        <w:right w:val="none" w:sz="0" w:space="0" w:color="auto"/>
      </w:divBdr>
    </w:div>
    <w:div w:id="1711999087">
      <w:bodyDiv w:val="1"/>
      <w:marLeft w:val="0"/>
      <w:marRight w:val="0"/>
      <w:marTop w:val="0"/>
      <w:marBottom w:val="0"/>
      <w:divBdr>
        <w:top w:val="none" w:sz="0" w:space="0" w:color="auto"/>
        <w:left w:val="none" w:sz="0" w:space="0" w:color="auto"/>
        <w:bottom w:val="none" w:sz="0" w:space="0" w:color="auto"/>
        <w:right w:val="none" w:sz="0" w:space="0" w:color="auto"/>
      </w:divBdr>
    </w:div>
    <w:div w:id="1722097160">
      <w:bodyDiv w:val="1"/>
      <w:marLeft w:val="0"/>
      <w:marRight w:val="0"/>
      <w:marTop w:val="0"/>
      <w:marBottom w:val="0"/>
      <w:divBdr>
        <w:top w:val="none" w:sz="0" w:space="0" w:color="auto"/>
        <w:left w:val="none" w:sz="0" w:space="0" w:color="auto"/>
        <w:bottom w:val="none" w:sz="0" w:space="0" w:color="auto"/>
        <w:right w:val="none" w:sz="0" w:space="0" w:color="auto"/>
      </w:divBdr>
    </w:div>
    <w:div w:id="1752199445">
      <w:bodyDiv w:val="1"/>
      <w:marLeft w:val="0"/>
      <w:marRight w:val="0"/>
      <w:marTop w:val="0"/>
      <w:marBottom w:val="0"/>
      <w:divBdr>
        <w:top w:val="none" w:sz="0" w:space="0" w:color="auto"/>
        <w:left w:val="none" w:sz="0" w:space="0" w:color="auto"/>
        <w:bottom w:val="none" w:sz="0" w:space="0" w:color="auto"/>
        <w:right w:val="none" w:sz="0" w:space="0" w:color="auto"/>
      </w:divBdr>
    </w:div>
    <w:div w:id="1788740116">
      <w:bodyDiv w:val="1"/>
      <w:marLeft w:val="0"/>
      <w:marRight w:val="0"/>
      <w:marTop w:val="0"/>
      <w:marBottom w:val="0"/>
      <w:divBdr>
        <w:top w:val="none" w:sz="0" w:space="0" w:color="auto"/>
        <w:left w:val="none" w:sz="0" w:space="0" w:color="auto"/>
        <w:bottom w:val="none" w:sz="0" w:space="0" w:color="auto"/>
        <w:right w:val="none" w:sz="0" w:space="0" w:color="auto"/>
      </w:divBdr>
    </w:div>
    <w:div w:id="1802914283">
      <w:bodyDiv w:val="1"/>
      <w:marLeft w:val="0"/>
      <w:marRight w:val="0"/>
      <w:marTop w:val="0"/>
      <w:marBottom w:val="0"/>
      <w:divBdr>
        <w:top w:val="none" w:sz="0" w:space="0" w:color="auto"/>
        <w:left w:val="none" w:sz="0" w:space="0" w:color="auto"/>
        <w:bottom w:val="none" w:sz="0" w:space="0" w:color="auto"/>
        <w:right w:val="none" w:sz="0" w:space="0" w:color="auto"/>
      </w:divBdr>
    </w:div>
    <w:div w:id="1863130903">
      <w:bodyDiv w:val="1"/>
      <w:marLeft w:val="0"/>
      <w:marRight w:val="0"/>
      <w:marTop w:val="0"/>
      <w:marBottom w:val="0"/>
      <w:divBdr>
        <w:top w:val="none" w:sz="0" w:space="0" w:color="auto"/>
        <w:left w:val="none" w:sz="0" w:space="0" w:color="auto"/>
        <w:bottom w:val="none" w:sz="0" w:space="0" w:color="auto"/>
        <w:right w:val="none" w:sz="0" w:space="0" w:color="auto"/>
      </w:divBdr>
    </w:div>
    <w:div w:id="1909420005">
      <w:bodyDiv w:val="1"/>
      <w:marLeft w:val="0"/>
      <w:marRight w:val="0"/>
      <w:marTop w:val="0"/>
      <w:marBottom w:val="0"/>
      <w:divBdr>
        <w:top w:val="none" w:sz="0" w:space="0" w:color="auto"/>
        <w:left w:val="none" w:sz="0" w:space="0" w:color="auto"/>
        <w:bottom w:val="none" w:sz="0" w:space="0" w:color="auto"/>
        <w:right w:val="none" w:sz="0" w:space="0" w:color="auto"/>
      </w:divBdr>
    </w:div>
    <w:div w:id="1921134250">
      <w:bodyDiv w:val="1"/>
      <w:marLeft w:val="0"/>
      <w:marRight w:val="0"/>
      <w:marTop w:val="0"/>
      <w:marBottom w:val="0"/>
      <w:divBdr>
        <w:top w:val="none" w:sz="0" w:space="0" w:color="auto"/>
        <w:left w:val="none" w:sz="0" w:space="0" w:color="auto"/>
        <w:bottom w:val="none" w:sz="0" w:space="0" w:color="auto"/>
        <w:right w:val="none" w:sz="0" w:space="0" w:color="auto"/>
      </w:divBdr>
    </w:div>
    <w:div w:id="1943952695">
      <w:bodyDiv w:val="1"/>
      <w:marLeft w:val="0"/>
      <w:marRight w:val="0"/>
      <w:marTop w:val="0"/>
      <w:marBottom w:val="0"/>
      <w:divBdr>
        <w:top w:val="none" w:sz="0" w:space="0" w:color="auto"/>
        <w:left w:val="none" w:sz="0" w:space="0" w:color="auto"/>
        <w:bottom w:val="none" w:sz="0" w:space="0" w:color="auto"/>
        <w:right w:val="none" w:sz="0" w:space="0" w:color="auto"/>
      </w:divBdr>
    </w:div>
    <w:div w:id="2058120431">
      <w:bodyDiv w:val="1"/>
      <w:marLeft w:val="0"/>
      <w:marRight w:val="0"/>
      <w:marTop w:val="0"/>
      <w:marBottom w:val="0"/>
      <w:divBdr>
        <w:top w:val="none" w:sz="0" w:space="0" w:color="auto"/>
        <w:left w:val="none" w:sz="0" w:space="0" w:color="auto"/>
        <w:bottom w:val="none" w:sz="0" w:space="0" w:color="auto"/>
        <w:right w:val="none" w:sz="0" w:space="0" w:color="auto"/>
      </w:divBdr>
    </w:div>
    <w:div w:id="21130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la.gov.lv/lv/es-fondi-2014-2020/izsludinatas-atlases" TargetMode="External"/><Relationship Id="rId3" Type="http://schemas.openxmlformats.org/officeDocument/2006/relationships/settings" Target="settings.xml"/><Relationship Id="rId7" Type="http://schemas.openxmlformats.org/officeDocument/2006/relationships/hyperlink" Target="mailto:Maija.Upeniece@cfl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e.Smite@cfla.gov.lv" TargetMode="External"/><Relationship Id="rId11" Type="http://schemas.openxmlformats.org/officeDocument/2006/relationships/theme" Target="theme/theme1.xml"/><Relationship Id="rId5" Type="http://schemas.openxmlformats.org/officeDocument/2006/relationships/hyperlink" Target="http://www.esfondi.lv/upload/00-vadlinijas/1km_izmaksu_metodik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s.grebezs@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16617</Words>
  <Characters>9473</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Upeniece</dc:creator>
  <cp:keywords/>
  <dc:description/>
  <cp:lastModifiedBy>Kristīne Šmite</cp:lastModifiedBy>
  <cp:revision>20</cp:revision>
  <dcterms:created xsi:type="dcterms:W3CDTF">2018-10-10T05:15:00Z</dcterms:created>
  <dcterms:modified xsi:type="dcterms:W3CDTF">2018-10-11T11:19:00Z</dcterms:modified>
</cp:coreProperties>
</file>