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C2F99" w14:textId="05240AD5" w:rsidR="00AF04D5" w:rsidRDefault="00187DEA" w:rsidP="00AF04D5">
      <w:pPr>
        <w:spacing w:after="0" w:line="240" w:lineRule="auto"/>
        <w:jc w:val="both"/>
        <w:rPr>
          <w:rFonts w:ascii="Times New Roman" w:hAnsi="Times New Roman" w:cs="Times New Roman"/>
          <w:sz w:val="24"/>
          <w:szCs w:val="24"/>
        </w:rPr>
      </w:pPr>
      <w:bookmarkStart w:id="0" w:name="_GoBack"/>
      <w:bookmarkEnd w:id="0"/>
      <w:r w:rsidRPr="006D4545">
        <w:rPr>
          <w:rFonts w:ascii="Times New Roman" w:hAnsi="Times New Roman" w:cs="Times New Roman"/>
          <w:sz w:val="24"/>
          <w:szCs w:val="24"/>
        </w:rPr>
        <w:t xml:space="preserve">Izdarīt </w:t>
      </w:r>
      <w:r w:rsidR="00077C7C" w:rsidRPr="006D4545">
        <w:rPr>
          <w:rFonts w:ascii="Times New Roman" w:hAnsi="Times New Roman" w:cs="Times New Roman"/>
          <w:sz w:val="24"/>
          <w:szCs w:val="24"/>
        </w:rPr>
        <w:t xml:space="preserve">Centrālās finanšu un līgumu aģentūras kā sadarbības iestādes </w:t>
      </w:r>
      <w:r w:rsidRPr="006D4545">
        <w:rPr>
          <w:rFonts w:ascii="Times New Roman" w:hAnsi="Times New Roman" w:cs="Times New Roman"/>
          <w:sz w:val="24"/>
          <w:szCs w:val="24"/>
        </w:rPr>
        <w:t>201</w:t>
      </w:r>
      <w:r w:rsidR="00C35485" w:rsidRPr="006D4545">
        <w:rPr>
          <w:rFonts w:ascii="Times New Roman" w:hAnsi="Times New Roman" w:cs="Times New Roman"/>
          <w:sz w:val="24"/>
          <w:szCs w:val="24"/>
        </w:rPr>
        <w:t>6</w:t>
      </w:r>
      <w:r w:rsidRPr="006D4545">
        <w:rPr>
          <w:rFonts w:ascii="Times New Roman" w:hAnsi="Times New Roman" w:cs="Times New Roman"/>
          <w:sz w:val="24"/>
          <w:szCs w:val="24"/>
        </w:rPr>
        <w:t xml:space="preserve">.gada </w:t>
      </w:r>
      <w:r w:rsidR="006D4545" w:rsidRPr="006D4545">
        <w:rPr>
          <w:rFonts w:ascii="Times New Roman" w:hAnsi="Times New Roman" w:cs="Times New Roman"/>
          <w:sz w:val="24"/>
          <w:szCs w:val="24"/>
        </w:rPr>
        <w:t>11.novembra</w:t>
      </w:r>
      <w:r w:rsidRPr="00187DEA">
        <w:rPr>
          <w:rFonts w:ascii="Times New Roman" w:hAnsi="Times New Roman" w:cs="Times New Roman"/>
          <w:sz w:val="24"/>
          <w:szCs w:val="24"/>
        </w:rPr>
        <w:t xml:space="preserve"> darbības programmas “Izaugsme un nodarbinātība” </w:t>
      </w:r>
      <w:r>
        <w:rPr>
          <w:rFonts w:ascii="Times New Roman" w:hAnsi="Times New Roman" w:cs="Times New Roman"/>
          <w:sz w:val="24"/>
          <w:szCs w:val="24"/>
        </w:rPr>
        <w:t>6</w:t>
      </w:r>
      <w:r w:rsidRPr="00187DEA">
        <w:rPr>
          <w:rFonts w:ascii="Times New Roman" w:hAnsi="Times New Roman" w:cs="Times New Roman"/>
          <w:sz w:val="24"/>
          <w:szCs w:val="24"/>
        </w:rPr>
        <w:t>.</w:t>
      </w:r>
      <w:r w:rsidR="006D4545">
        <w:rPr>
          <w:rFonts w:ascii="Times New Roman" w:hAnsi="Times New Roman" w:cs="Times New Roman"/>
          <w:sz w:val="24"/>
          <w:szCs w:val="24"/>
        </w:rPr>
        <w:t>1.4</w:t>
      </w:r>
      <w:r w:rsidRPr="00187DEA">
        <w:rPr>
          <w:rFonts w:ascii="Times New Roman" w:hAnsi="Times New Roman" w:cs="Times New Roman"/>
          <w:sz w:val="24"/>
          <w:szCs w:val="24"/>
        </w:rPr>
        <w:t>.specifiskā atbalsta mērķa “</w:t>
      </w:r>
      <w:r w:rsidR="006D4545">
        <w:rPr>
          <w:rFonts w:ascii="Times New Roman" w:hAnsi="Times New Roman" w:cs="Times New Roman"/>
          <w:sz w:val="24"/>
          <w:szCs w:val="24"/>
        </w:rPr>
        <w:t>Pilsētu infrastruktūras sasaiste ar TEN-T tīklu</w:t>
      </w:r>
      <w:r w:rsidRPr="00187DEA">
        <w:rPr>
          <w:rFonts w:ascii="Times New Roman" w:hAnsi="Times New Roman" w:cs="Times New Roman"/>
          <w:sz w:val="24"/>
          <w:szCs w:val="24"/>
        </w:rPr>
        <w:t>”</w:t>
      </w:r>
      <w:r w:rsidR="006D4545">
        <w:rPr>
          <w:rFonts w:ascii="Times New Roman" w:hAnsi="Times New Roman" w:cs="Times New Roman"/>
          <w:sz w:val="24"/>
          <w:szCs w:val="24"/>
        </w:rPr>
        <w:t xml:space="preserve"> 6.1.4.2.pasākuma “Nacionālās nozīmes attīstības centru integrēšana TEN-T tīklā”</w:t>
      </w:r>
      <w:r w:rsidRPr="00187DEA">
        <w:rPr>
          <w:rFonts w:ascii="Times New Roman" w:hAnsi="Times New Roman" w:cs="Times New Roman"/>
          <w:sz w:val="24"/>
          <w:szCs w:val="24"/>
        </w:rPr>
        <w:t xml:space="preserve"> projektu iesniegumu atlases nolikum</w:t>
      </w:r>
      <w:r w:rsidR="003E4646">
        <w:rPr>
          <w:rFonts w:ascii="Times New Roman" w:hAnsi="Times New Roman" w:cs="Times New Roman"/>
          <w:sz w:val="24"/>
          <w:szCs w:val="24"/>
        </w:rPr>
        <w:t>ā</w:t>
      </w:r>
      <w:r w:rsidRPr="00187DEA">
        <w:rPr>
          <w:rFonts w:ascii="Times New Roman" w:hAnsi="Times New Roman" w:cs="Times New Roman"/>
          <w:sz w:val="24"/>
          <w:szCs w:val="24"/>
        </w:rPr>
        <w:t xml:space="preserve"> (turpmāk</w:t>
      </w:r>
      <w:r w:rsidR="00504923">
        <w:rPr>
          <w:rFonts w:ascii="Times New Roman" w:hAnsi="Times New Roman" w:cs="Times New Roman"/>
          <w:sz w:val="24"/>
          <w:szCs w:val="24"/>
        </w:rPr>
        <w:t xml:space="preserve"> –</w:t>
      </w:r>
      <w:r w:rsidRPr="00187DEA">
        <w:rPr>
          <w:rFonts w:ascii="Times New Roman" w:hAnsi="Times New Roman" w:cs="Times New Roman"/>
          <w:sz w:val="24"/>
          <w:szCs w:val="24"/>
        </w:rPr>
        <w:t xml:space="preserve"> projekt</w:t>
      </w:r>
      <w:r w:rsidR="00504923">
        <w:rPr>
          <w:rFonts w:ascii="Times New Roman" w:hAnsi="Times New Roman" w:cs="Times New Roman"/>
          <w:sz w:val="24"/>
          <w:szCs w:val="24"/>
        </w:rPr>
        <w:t>u iesniegumu atlases nolikums)</w:t>
      </w:r>
      <w:r w:rsidR="003E4646">
        <w:rPr>
          <w:rFonts w:ascii="Times New Roman" w:hAnsi="Times New Roman" w:cs="Times New Roman"/>
          <w:sz w:val="24"/>
          <w:szCs w:val="24"/>
        </w:rPr>
        <w:t xml:space="preserve"> šādus</w:t>
      </w:r>
      <w:r w:rsidR="003E4646" w:rsidRPr="003E4646">
        <w:rPr>
          <w:rFonts w:ascii="Times New Roman" w:hAnsi="Times New Roman" w:cs="Times New Roman"/>
          <w:sz w:val="24"/>
          <w:szCs w:val="24"/>
        </w:rPr>
        <w:t xml:space="preserve"> </w:t>
      </w:r>
      <w:r w:rsidR="003E4646">
        <w:rPr>
          <w:rFonts w:ascii="Times New Roman" w:hAnsi="Times New Roman" w:cs="Times New Roman"/>
          <w:sz w:val="24"/>
          <w:szCs w:val="24"/>
        </w:rPr>
        <w:t>grozījumus:</w:t>
      </w:r>
    </w:p>
    <w:p w14:paraId="695514FA" w14:textId="77777777" w:rsidR="00AF04D5" w:rsidRDefault="00AF04D5" w:rsidP="00AF04D5">
      <w:pPr>
        <w:spacing w:after="0" w:line="240" w:lineRule="auto"/>
        <w:jc w:val="both"/>
        <w:rPr>
          <w:rFonts w:ascii="Times New Roman" w:hAnsi="Times New Roman" w:cs="Times New Roman"/>
          <w:sz w:val="24"/>
          <w:szCs w:val="24"/>
        </w:rPr>
      </w:pPr>
    </w:p>
    <w:p w14:paraId="34BA0867" w14:textId="77777777" w:rsidR="00BF24F9" w:rsidRPr="00AD261A" w:rsidRDefault="00261C2D" w:rsidP="00C81FF5">
      <w:pPr>
        <w:pStyle w:val="ListParagraph"/>
        <w:numPr>
          <w:ilvl w:val="0"/>
          <w:numId w:val="2"/>
        </w:numPr>
        <w:spacing w:after="240" w:line="240" w:lineRule="auto"/>
        <w:ind w:left="425" w:hanging="357"/>
        <w:jc w:val="both"/>
        <w:rPr>
          <w:rFonts w:ascii="Times New Roman" w:hAnsi="Times New Roman" w:cs="Times New Roman"/>
          <w:sz w:val="24"/>
          <w:szCs w:val="24"/>
        </w:rPr>
      </w:pPr>
      <w:r w:rsidRPr="00AD261A">
        <w:rPr>
          <w:rFonts w:ascii="Times New Roman" w:hAnsi="Times New Roman" w:cs="Times New Roman"/>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295"/>
      </w:tblGrid>
      <w:tr w:rsidR="00BF24F9" w:rsidRPr="00BF24F9" w14:paraId="78B9B687" w14:textId="77777777" w:rsidTr="00BF24F9">
        <w:trPr>
          <w:trHeight w:val="549"/>
          <w:jc w:val="center"/>
        </w:trPr>
        <w:tc>
          <w:tcPr>
            <w:tcW w:w="3227" w:type="dxa"/>
            <w:shd w:val="clear" w:color="auto" w:fill="D9D9D9"/>
          </w:tcPr>
          <w:p w14:paraId="5FE13082" w14:textId="77777777" w:rsidR="00BF24F9" w:rsidRPr="00BF24F9" w:rsidRDefault="00BF24F9" w:rsidP="00164119">
            <w:pPr>
              <w:rPr>
                <w:rFonts w:ascii="Times New Roman" w:eastAsia="Times New Roman" w:hAnsi="Times New Roman" w:cs="Times New Roman"/>
                <w:sz w:val="24"/>
                <w:szCs w:val="24"/>
                <w:lang w:eastAsia="lv-LV"/>
              </w:rPr>
            </w:pPr>
            <w:r w:rsidRPr="00BF24F9">
              <w:rPr>
                <w:rFonts w:ascii="Times New Roman" w:eastAsia="Times New Roman" w:hAnsi="Times New Roman" w:cs="Times New Roman"/>
                <w:sz w:val="24"/>
                <w:szCs w:val="24"/>
                <w:lang w:eastAsia="lv-LV"/>
              </w:rPr>
              <w:t>Finanšu nosacījumi</w:t>
            </w:r>
          </w:p>
        </w:tc>
        <w:tc>
          <w:tcPr>
            <w:tcW w:w="5295" w:type="dxa"/>
            <w:shd w:val="clear" w:color="auto" w:fill="auto"/>
          </w:tcPr>
          <w:p w14:paraId="14744C79" w14:textId="77777777" w:rsidR="00720C06" w:rsidRPr="002139B8" w:rsidRDefault="00720C06" w:rsidP="00720C06">
            <w:pPr>
              <w:jc w:val="both"/>
              <w:outlineLvl w:val="3"/>
              <w:rPr>
                <w:rFonts w:ascii="Times New Roman" w:eastAsia="Times New Roman" w:hAnsi="Times New Roman"/>
                <w:i/>
                <w:sz w:val="24"/>
                <w:szCs w:val="24"/>
                <w:lang w:eastAsia="lv-LV"/>
              </w:rPr>
            </w:pPr>
            <w:r w:rsidRPr="00307D9D">
              <w:rPr>
                <w:rFonts w:ascii="Times New Roman" w:eastAsia="Times New Roman" w:hAnsi="Times New Roman"/>
                <w:sz w:val="24"/>
                <w:szCs w:val="24"/>
                <w:lang w:eastAsia="lv-LV"/>
              </w:rPr>
              <w:t xml:space="preserve">SAM </w:t>
            </w:r>
            <w:r w:rsidRPr="002139B8">
              <w:rPr>
                <w:rFonts w:ascii="Times New Roman" w:eastAsia="Times New Roman" w:hAnsi="Times New Roman"/>
                <w:sz w:val="24"/>
                <w:szCs w:val="24"/>
                <w:lang w:eastAsia="lv-LV"/>
              </w:rPr>
              <w:t xml:space="preserve">pasākuma plānotais kopējais attiecināmais finansējums ir 52 843 452 </w:t>
            </w:r>
            <w:r w:rsidRPr="002139B8">
              <w:rPr>
                <w:rFonts w:ascii="Times New Roman" w:eastAsia="Times New Roman" w:hAnsi="Times New Roman"/>
                <w:i/>
                <w:sz w:val="24"/>
                <w:szCs w:val="24"/>
                <w:lang w:eastAsia="lv-LV"/>
              </w:rPr>
              <w:t xml:space="preserve">euro, </w:t>
            </w:r>
            <w:r w:rsidRPr="002139B8">
              <w:rPr>
                <w:rFonts w:ascii="Times New Roman" w:eastAsia="Times New Roman" w:hAnsi="Times New Roman"/>
                <w:sz w:val="24"/>
                <w:szCs w:val="24"/>
                <w:lang w:eastAsia="lv-LV"/>
              </w:rPr>
              <w:t xml:space="preserve">tai skaitā Kohēzijas fonda finansējums ir 44 916 932 </w:t>
            </w:r>
            <w:r w:rsidRPr="002139B8">
              <w:rPr>
                <w:rFonts w:ascii="Times New Roman" w:eastAsia="Times New Roman" w:hAnsi="Times New Roman"/>
                <w:i/>
                <w:sz w:val="24"/>
                <w:szCs w:val="24"/>
                <w:lang w:eastAsia="lv-LV"/>
              </w:rPr>
              <w:t xml:space="preserve">euro, </w:t>
            </w:r>
            <w:r w:rsidRPr="002139B8">
              <w:rPr>
                <w:rFonts w:ascii="Times New Roman" w:eastAsia="Times New Roman" w:hAnsi="Times New Roman"/>
                <w:sz w:val="24"/>
                <w:szCs w:val="24"/>
                <w:lang w:eastAsia="lv-LV"/>
              </w:rPr>
              <w:t xml:space="preserve">nacionālais finansējums (pašvaldības finansējums un valsts budžeta dotācija pašvaldībām) – 7 926 520 </w:t>
            </w:r>
            <w:r w:rsidRPr="002139B8">
              <w:rPr>
                <w:rFonts w:ascii="Times New Roman" w:eastAsia="Times New Roman" w:hAnsi="Times New Roman"/>
                <w:i/>
                <w:sz w:val="24"/>
                <w:szCs w:val="24"/>
                <w:lang w:eastAsia="lv-LV"/>
              </w:rPr>
              <w:t>euro.</w:t>
            </w:r>
          </w:p>
          <w:p w14:paraId="4CA68729" w14:textId="77777777" w:rsidR="00720C06" w:rsidRPr="002139B8" w:rsidRDefault="00720C06" w:rsidP="00720C06">
            <w:pPr>
              <w:jc w:val="both"/>
              <w:outlineLvl w:val="3"/>
              <w:rPr>
                <w:rFonts w:ascii="Times New Roman" w:eastAsia="Times New Roman" w:hAnsi="Times New Roman"/>
                <w:i/>
                <w:sz w:val="24"/>
                <w:szCs w:val="24"/>
                <w:lang w:eastAsia="lv-LV"/>
              </w:rPr>
            </w:pPr>
            <w:r w:rsidRPr="002139B8">
              <w:rPr>
                <w:rFonts w:ascii="Times New Roman" w:eastAsia="Times New Roman" w:hAnsi="Times New Roman"/>
                <w:sz w:val="24"/>
                <w:szCs w:val="24"/>
                <w:lang w:eastAsia="lv-LV"/>
              </w:rPr>
              <w:t xml:space="preserve">Pieejamais kopējais attiecināmais finansējums līdz 2018.gada 31.decembrim, lai slēgtu vienošanos ir 49 574 202 </w:t>
            </w:r>
            <w:r w:rsidRPr="002139B8">
              <w:rPr>
                <w:rFonts w:ascii="Times New Roman" w:eastAsia="Times New Roman" w:hAnsi="Times New Roman"/>
                <w:i/>
                <w:sz w:val="24"/>
                <w:szCs w:val="24"/>
                <w:lang w:eastAsia="lv-LV"/>
              </w:rPr>
              <w:t xml:space="preserve">euro, </w:t>
            </w:r>
            <w:r w:rsidRPr="002139B8">
              <w:rPr>
                <w:rFonts w:ascii="Times New Roman" w:eastAsia="Times New Roman" w:hAnsi="Times New Roman"/>
                <w:sz w:val="24"/>
                <w:szCs w:val="24"/>
                <w:lang w:eastAsia="lv-LV"/>
              </w:rPr>
              <w:t xml:space="preserve">tai skaitā Kohēzijas fonda finansējums ir 42 138 070 </w:t>
            </w:r>
            <w:r w:rsidRPr="002139B8">
              <w:rPr>
                <w:rFonts w:ascii="Times New Roman" w:eastAsia="Times New Roman" w:hAnsi="Times New Roman"/>
                <w:i/>
                <w:sz w:val="24"/>
                <w:szCs w:val="24"/>
                <w:lang w:eastAsia="lv-LV"/>
              </w:rPr>
              <w:t xml:space="preserve">euro, </w:t>
            </w:r>
            <w:r w:rsidRPr="002139B8">
              <w:rPr>
                <w:rFonts w:ascii="Times New Roman" w:eastAsia="Times New Roman" w:hAnsi="Times New Roman"/>
                <w:sz w:val="24"/>
                <w:szCs w:val="24"/>
                <w:lang w:eastAsia="lv-LV"/>
              </w:rPr>
              <w:t xml:space="preserve">nacionālais finansējums (pašvaldības finansējums un valsts budžeta dotācija pašvaldībām) – 7 436 132 </w:t>
            </w:r>
            <w:r w:rsidRPr="002139B8">
              <w:rPr>
                <w:rFonts w:ascii="Times New Roman" w:eastAsia="Times New Roman" w:hAnsi="Times New Roman"/>
                <w:i/>
                <w:sz w:val="24"/>
                <w:szCs w:val="24"/>
                <w:lang w:eastAsia="lv-LV"/>
              </w:rPr>
              <w:t>euro.</w:t>
            </w:r>
          </w:p>
          <w:p w14:paraId="2B9C1B7E" w14:textId="77777777" w:rsidR="00720C06" w:rsidRPr="002139B8" w:rsidRDefault="00720C06" w:rsidP="00720C06">
            <w:pPr>
              <w:jc w:val="both"/>
              <w:outlineLvl w:val="3"/>
              <w:rPr>
                <w:rFonts w:ascii="Times New Roman" w:hAnsi="Times New Roman"/>
                <w:sz w:val="16"/>
              </w:rPr>
            </w:pPr>
            <w:r w:rsidRPr="002139B8">
              <w:rPr>
                <w:rFonts w:ascii="Times New Roman" w:eastAsia="Times New Roman" w:hAnsi="Times New Roman"/>
                <w:sz w:val="24"/>
                <w:szCs w:val="24"/>
                <w:lang w:eastAsia="lv-LV"/>
              </w:rPr>
              <w:t>Maksimālā atbalsta intensitāte ir līdz 85% no projekta plānotā kopējā attiecināmā finansējuma.</w:t>
            </w:r>
          </w:p>
          <w:p w14:paraId="1ED78452" w14:textId="77777777" w:rsidR="00720C06" w:rsidRPr="002139B8" w:rsidRDefault="00720C06" w:rsidP="00720C06">
            <w:pPr>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SAM pasākuma īstenošanas teritorija ir nacionālās nozīmes attīstības centri, izņemot Rīgu.</w:t>
            </w:r>
          </w:p>
          <w:p w14:paraId="4CFC0592" w14:textId="77777777" w:rsidR="00720C06" w:rsidRPr="002139B8" w:rsidRDefault="00720C06" w:rsidP="00720C06">
            <w:pPr>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Finansējuma saņēmējam līdz 2018. gada 31. decembrim pieejamais maksimālais Kohēzijas fonda finansējums ir:</w:t>
            </w:r>
          </w:p>
          <w:p w14:paraId="7B6E8C53" w14:textId="77777777" w:rsidR="00720C06" w:rsidRPr="002139B8"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 xml:space="preserve">Daugavpilij 7 648 420 </w:t>
            </w:r>
            <w:r w:rsidRPr="002139B8">
              <w:rPr>
                <w:rFonts w:ascii="Times New Roman" w:eastAsia="Times New Roman" w:hAnsi="Times New Roman"/>
                <w:i/>
                <w:sz w:val="24"/>
                <w:szCs w:val="24"/>
                <w:lang w:eastAsia="lv-LV"/>
              </w:rPr>
              <w:t>euro</w:t>
            </w:r>
            <w:r w:rsidRPr="002139B8">
              <w:rPr>
                <w:rFonts w:ascii="Times New Roman" w:eastAsia="Times New Roman" w:hAnsi="Times New Roman"/>
                <w:sz w:val="24"/>
                <w:szCs w:val="24"/>
                <w:lang w:eastAsia="lv-LV"/>
              </w:rPr>
              <w:t>;</w:t>
            </w:r>
          </w:p>
          <w:p w14:paraId="5B0A47A2" w14:textId="77777777" w:rsidR="00720C06" w:rsidRPr="002139B8"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 xml:space="preserve">Jelgavai 12 004 303 </w:t>
            </w:r>
            <w:r w:rsidRPr="002139B8">
              <w:rPr>
                <w:rFonts w:ascii="Times New Roman" w:eastAsia="Times New Roman" w:hAnsi="Times New Roman"/>
                <w:i/>
                <w:sz w:val="24"/>
                <w:szCs w:val="24"/>
                <w:lang w:eastAsia="lv-LV"/>
              </w:rPr>
              <w:t>euro</w:t>
            </w:r>
            <w:r w:rsidRPr="002139B8">
              <w:rPr>
                <w:rFonts w:ascii="Times New Roman" w:eastAsia="Times New Roman" w:hAnsi="Times New Roman"/>
                <w:sz w:val="24"/>
                <w:szCs w:val="24"/>
                <w:lang w:eastAsia="lv-LV"/>
              </w:rPr>
              <w:t>;</w:t>
            </w:r>
          </w:p>
          <w:p w14:paraId="346AF8E1" w14:textId="77777777" w:rsidR="00720C06" w:rsidRPr="002139B8"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 xml:space="preserve">Jūrmalai 2 711 205 </w:t>
            </w:r>
            <w:r w:rsidRPr="002139B8">
              <w:rPr>
                <w:rFonts w:ascii="Times New Roman" w:eastAsia="Times New Roman" w:hAnsi="Times New Roman"/>
                <w:i/>
                <w:sz w:val="24"/>
                <w:szCs w:val="24"/>
                <w:lang w:eastAsia="lv-LV"/>
              </w:rPr>
              <w:t>euro</w:t>
            </w:r>
            <w:r w:rsidRPr="002139B8">
              <w:rPr>
                <w:rFonts w:ascii="Times New Roman" w:eastAsia="Times New Roman" w:hAnsi="Times New Roman"/>
                <w:sz w:val="24"/>
                <w:szCs w:val="24"/>
                <w:lang w:eastAsia="lv-LV"/>
              </w:rPr>
              <w:t>;</w:t>
            </w:r>
          </w:p>
          <w:p w14:paraId="06DAA037" w14:textId="77777777" w:rsidR="00720C06" w:rsidRPr="002139B8"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 xml:space="preserve">Jēkabpili 5 031 495 </w:t>
            </w:r>
            <w:r w:rsidRPr="002139B8">
              <w:rPr>
                <w:rFonts w:ascii="Times New Roman" w:eastAsia="Times New Roman" w:hAnsi="Times New Roman"/>
                <w:i/>
                <w:sz w:val="24"/>
                <w:szCs w:val="24"/>
                <w:lang w:eastAsia="lv-LV"/>
              </w:rPr>
              <w:t>euro</w:t>
            </w:r>
            <w:r w:rsidRPr="002139B8">
              <w:rPr>
                <w:rFonts w:ascii="Times New Roman" w:eastAsia="Times New Roman" w:hAnsi="Times New Roman"/>
                <w:sz w:val="24"/>
                <w:szCs w:val="24"/>
                <w:lang w:eastAsia="lv-LV"/>
              </w:rPr>
              <w:t>;</w:t>
            </w:r>
          </w:p>
          <w:p w14:paraId="0C41149B" w14:textId="77777777" w:rsidR="00720C06" w:rsidRPr="002139B8"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 xml:space="preserve">Liepājai 4 432 093 </w:t>
            </w:r>
            <w:r w:rsidRPr="002139B8">
              <w:rPr>
                <w:rFonts w:ascii="Times New Roman" w:eastAsia="Times New Roman" w:hAnsi="Times New Roman"/>
                <w:i/>
                <w:sz w:val="24"/>
                <w:szCs w:val="24"/>
                <w:lang w:eastAsia="lv-LV"/>
              </w:rPr>
              <w:t>euro</w:t>
            </w:r>
            <w:r w:rsidRPr="002139B8">
              <w:rPr>
                <w:rFonts w:ascii="Times New Roman" w:eastAsia="Times New Roman" w:hAnsi="Times New Roman"/>
                <w:sz w:val="24"/>
                <w:szCs w:val="24"/>
                <w:lang w:eastAsia="lv-LV"/>
              </w:rPr>
              <w:t>;</w:t>
            </w:r>
          </w:p>
          <w:p w14:paraId="37C041BF" w14:textId="77777777" w:rsidR="00720C06" w:rsidRPr="00307D9D"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2139B8">
              <w:rPr>
                <w:rFonts w:ascii="Times New Roman" w:eastAsia="Times New Roman" w:hAnsi="Times New Roman"/>
                <w:sz w:val="24"/>
                <w:szCs w:val="24"/>
                <w:lang w:eastAsia="lv-LV"/>
              </w:rPr>
              <w:t xml:space="preserve">Rēzeknei 2 392 240 </w:t>
            </w:r>
            <w:r w:rsidRPr="00307D9D">
              <w:rPr>
                <w:rFonts w:ascii="Times New Roman" w:eastAsia="Times New Roman" w:hAnsi="Times New Roman"/>
                <w:i/>
                <w:sz w:val="24"/>
                <w:szCs w:val="24"/>
                <w:lang w:eastAsia="lv-LV"/>
              </w:rPr>
              <w:t>eur</w:t>
            </w:r>
            <w:r w:rsidRPr="00307D9D">
              <w:rPr>
                <w:rFonts w:ascii="Times New Roman" w:eastAsia="Times New Roman" w:hAnsi="Times New Roman"/>
                <w:sz w:val="24"/>
                <w:szCs w:val="24"/>
                <w:lang w:eastAsia="lv-LV"/>
              </w:rPr>
              <w:t>o;</w:t>
            </w:r>
          </w:p>
          <w:p w14:paraId="65A70225" w14:textId="77777777" w:rsidR="00720C06" w:rsidRPr="00307D9D"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307D9D">
              <w:rPr>
                <w:rFonts w:ascii="Times New Roman" w:eastAsia="Times New Roman" w:hAnsi="Times New Roman"/>
                <w:sz w:val="24"/>
                <w:szCs w:val="24"/>
                <w:lang w:eastAsia="lv-LV"/>
              </w:rPr>
              <w:t xml:space="preserve">Valmierai 2 870 688 </w:t>
            </w:r>
            <w:r w:rsidRPr="00307D9D">
              <w:rPr>
                <w:rFonts w:ascii="Times New Roman" w:eastAsia="Times New Roman" w:hAnsi="Times New Roman"/>
                <w:i/>
                <w:sz w:val="24"/>
                <w:szCs w:val="24"/>
                <w:lang w:eastAsia="lv-LV"/>
              </w:rPr>
              <w:t>euro</w:t>
            </w:r>
            <w:r w:rsidRPr="00307D9D">
              <w:rPr>
                <w:rFonts w:ascii="Times New Roman" w:eastAsia="Times New Roman" w:hAnsi="Times New Roman"/>
                <w:sz w:val="24"/>
                <w:szCs w:val="24"/>
                <w:lang w:eastAsia="lv-LV"/>
              </w:rPr>
              <w:t>;</w:t>
            </w:r>
          </w:p>
          <w:p w14:paraId="530A2367" w14:textId="77777777" w:rsidR="00720C06" w:rsidRPr="00307D9D" w:rsidRDefault="00720C06" w:rsidP="00720C06">
            <w:pPr>
              <w:pStyle w:val="ListParagraph"/>
              <w:numPr>
                <w:ilvl w:val="0"/>
                <w:numId w:val="12"/>
              </w:numPr>
              <w:spacing w:before="120" w:after="0" w:line="240" w:lineRule="auto"/>
              <w:jc w:val="both"/>
              <w:outlineLvl w:val="3"/>
              <w:rPr>
                <w:rFonts w:ascii="Times New Roman" w:eastAsia="Times New Roman" w:hAnsi="Times New Roman"/>
                <w:sz w:val="24"/>
                <w:szCs w:val="24"/>
                <w:lang w:eastAsia="lv-LV"/>
              </w:rPr>
            </w:pPr>
            <w:r w:rsidRPr="00307D9D">
              <w:rPr>
                <w:rFonts w:ascii="Times New Roman" w:eastAsia="Times New Roman" w:hAnsi="Times New Roman"/>
                <w:sz w:val="24"/>
                <w:szCs w:val="24"/>
                <w:lang w:eastAsia="lv-LV"/>
              </w:rPr>
              <w:t xml:space="preserve">Ventspilij 5 047 626 </w:t>
            </w:r>
            <w:r w:rsidRPr="00307D9D">
              <w:rPr>
                <w:rFonts w:ascii="Times New Roman" w:eastAsia="Times New Roman" w:hAnsi="Times New Roman"/>
                <w:i/>
                <w:sz w:val="24"/>
                <w:szCs w:val="24"/>
                <w:lang w:eastAsia="lv-LV"/>
              </w:rPr>
              <w:t>euro</w:t>
            </w:r>
            <w:r w:rsidRPr="00307D9D">
              <w:rPr>
                <w:rFonts w:ascii="Times New Roman" w:eastAsia="Times New Roman" w:hAnsi="Times New Roman"/>
                <w:sz w:val="24"/>
                <w:szCs w:val="24"/>
                <w:lang w:eastAsia="lv-LV"/>
              </w:rPr>
              <w:t>.</w:t>
            </w:r>
          </w:p>
          <w:p w14:paraId="46FCF7B7" w14:textId="77777777" w:rsidR="00720C06" w:rsidRPr="00160C6B" w:rsidRDefault="00720C06" w:rsidP="00160C6B">
            <w:pPr>
              <w:spacing w:before="120"/>
              <w:jc w:val="both"/>
              <w:outlineLvl w:val="3"/>
              <w:rPr>
                <w:rFonts w:ascii="Times New Roman" w:eastAsia="Times New Roman" w:hAnsi="Times New Roman"/>
                <w:sz w:val="24"/>
                <w:szCs w:val="24"/>
                <w:lang w:eastAsia="lv-LV"/>
              </w:rPr>
            </w:pPr>
            <w:r w:rsidRPr="00160C6B">
              <w:rPr>
                <w:rStyle w:val="Hyperlink"/>
                <w:rFonts w:ascii="Times New Roman" w:eastAsia="Times New Roman" w:hAnsi="Times New Roman"/>
                <w:color w:val="000000"/>
                <w:sz w:val="24"/>
                <w:szCs w:val="24"/>
                <w:u w:val="none"/>
                <w:lang w:eastAsia="lv-LV"/>
              </w:rPr>
              <w:t>Projekta iesniedzējs pasākuma ietvaros iesniedz vienu projekta iesniegumu. Vienā projektā nevar iekļaut vairākas ielas, izņemot gadījumu, ja tiek veidots vienots noslēgts maršruts sasaistē ar TEN-T tīklu.</w:t>
            </w:r>
          </w:p>
          <w:p w14:paraId="71B80464" w14:textId="77777777" w:rsidR="00720C06" w:rsidRPr="00307D9D" w:rsidRDefault="00720C06" w:rsidP="00720C06">
            <w:pPr>
              <w:jc w:val="both"/>
              <w:outlineLvl w:val="3"/>
              <w:rPr>
                <w:rFonts w:ascii="Times New Roman" w:eastAsia="Times New Roman" w:hAnsi="Times New Roman"/>
                <w:sz w:val="24"/>
                <w:szCs w:val="24"/>
                <w:lang w:eastAsia="lv-LV"/>
              </w:rPr>
            </w:pPr>
            <w:r w:rsidRPr="00307D9D">
              <w:rPr>
                <w:rFonts w:ascii="Times New Roman" w:eastAsia="Times New Roman" w:hAnsi="Times New Roman"/>
                <w:sz w:val="24"/>
                <w:szCs w:val="24"/>
                <w:lang w:eastAsia="lv-LV"/>
              </w:rPr>
              <w:t>Izmaksas ir attiecināmas, ja tās ir radušās ne agrāk par 2016. gada 1. janvāri, izņemot MK noteikumu 23.5., 23.6., 23.7., 23.8., 23.9., 23.12., 23.13., 23.14., 23.15., 23.16. un 23.19. apakšpunktā minētās izmaksas, kas ir attiecināmas no dienas, kad noslēgta vienošanās par projekta īstenošanu.</w:t>
            </w:r>
          </w:p>
          <w:p w14:paraId="3B8D5329" w14:textId="77777777" w:rsidR="00720C06" w:rsidRPr="00307D9D" w:rsidRDefault="00720C06" w:rsidP="00720C06">
            <w:pPr>
              <w:spacing w:after="0"/>
              <w:jc w:val="both"/>
              <w:outlineLvl w:val="3"/>
              <w:rPr>
                <w:rFonts w:ascii="Times New Roman" w:hAnsi="Times New Roman"/>
                <w:sz w:val="24"/>
                <w:szCs w:val="24"/>
                <w:lang w:eastAsia="lv-LV"/>
              </w:rPr>
            </w:pPr>
            <w:r w:rsidRPr="00307D9D">
              <w:rPr>
                <w:rFonts w:ascii="Times New Roman" w:hAnsi="Times New Roman"/>
                <w:sz w:val="24"/>
                <w:szCs w:val="24"/>
                <w:lang w:eastAsia="lv-LV"/>
              </w:rPr>
              <w:lastRenderedPageBreak/>
              <w:t>Īstenojot projektu SAM pasākuma ietvaros projekta iesniedzējs var piesaistīt papildu publiskos līdzekļus atbilstoši MK noteikumu 14. punktam.</w:t>
            </w:r>
          </w:p>
          <w:p w14:paraId="4F39D553" w14:textId="37BC15D9" w:rsidR="00BF24F9" w:rsidRPr="00BF24F9" w:rsidRDefault="00720C06" w:rsidP="00720C06">
            <w:pPr>
              <w:spacing w:line="240" w:lineRule="auto"/>
              <w:jc w:val="both"/>
              <w:outlineLvl w:val="3"/>
              <w:rPr>
                <w:rFonts w:ascii="Times New Roman" w:eastAsia="Times New Roman" w:hAnsi="Times New Roman" w:cs="Times New Roman"/>
                <w:sz w:val="24"/>
                <w:szCs w:val="24"/>
                <w:lang w:eastAsia="lv-LV"/>
              </w:rPr>
            </w:pPr>
            <w:r>
              <w:rPr>
                <w:rFonts w:ascii="Times New Roman" w:eastAsia="Times New Roman" w:hAnsi="Times New Roman"/>
                <w:sz w:val="24"/>
                <w:szCs w:val="24"/>
                <w:lang w:eastAsia="lv-LV"/>
              </w:rPr>
              <w:t>SAM p</w:t>
            </w:r>
            <w:r w:rsidRPr="00307D9D">
              <w:rPr>
                <w:rFonts w:ascii="Times New Roman" w:eastAsia="Times New Roman" w:hAnsi="Times New Roman"/>
                <w:sz w:val="24"/>
                <w:szCs w:val="24"/>
                <w:lang w:eastAsia="lv-LV"/>
              </w:rPr>
              <w:t>asākuma ietvaros projektu īsteno saskaņā ar vienošanos par projekta īstenošanu, bet ne ilgāk kā līdz 2023. gada 31. decembrim.</w:t>
            </w:r>
          </w:p>
        </w:tc>
      </w:tr>
    </w:tbl>
    <w:p w14:paraId="00F87FCD" w14:textId="49B80C3B" w:rsidR="00261C2D" w:rsidRDefault="00261C2D" w:rsidP="00D91A5C">
      <w:pPr>
        <w:pStyle w:val="ListParagraph"/>
        <w:spacing w:after="240" w:line="240" w:lineRule="auto"/>
        <w:ind w:left="425"/>
        <w:jc w:val="both"/>
        <w:rPr>
          <w:rFonts w:ascii="Times New Roman" w:hAnsi="Times New Roman" w:cs="Times New Roman"/>
          <w:sz w:val="24"/>
          <w:szCs w:val="24"/>
        </w:rPr>
      </w:pPr>
      <w:r w:rsidRPr="00BF24F9">
        <w:rPr>
          <w:rFonts w:ascii="Times New Roman" w:hAnsi="Times New Roman" w:cs="Times New Roman"/>
          <w:sz w:val="24"/>
          <w:szCs w:val="24"/>
        </w:rPr>
        <w:lastRenderedPageBreak/>
        <w:t>”;</w:t>
      </w:r>
    </w:p>
    <w:p w14:paraId="584B7B17" w14:textId="77777777" w:rsidR="00261C2D" w:rsidRDefault="00261C2D" w:rsidP="00261C2D">
      <w:pPr>
        <w:pStyle w:val="ListParagraph"/>
        <w:spacing w:after="240" w:line="240" w:lineRule="auto"/>
        <w:ind w:left="425"/>
        <w:jc w:val="both"/>
        <w:rPr>
          <w:rFonts w:ascii="Times New Roman" w:hAnsi="Times New Roman" w:cs="Times New Roman"/>
          <w:sz w:val="24"/>
          <w:szCs w:val="24"/>
        </w:rPr>
      </w:pPr>
    </w:p>
    <w:p w14:paraId="016E25A4" w14:textId="3D2497F9" w:rsidR="00F01638" w:rsidRPr="00AE2877" w:rsidRDefault="00835497" w:rsidP="002477CA">
      <w:pPr>
        <w:pStyle w:val="ListParagraph"/>
        <w:numPr>
          <w:ilvl w:val="0"/>
          <w:numId w:val="2"/>
        </w:numPr>
        <w:spacing w:after="0" w:line="240" w:lineRule="auto"/>
        <w:contextualSpacing w:val="0"/>
        <w:jc w:val="both"/>
        <w:rPr>
          <w:rFonts w:ascii="Times New Roman" w:hAnsi="Times New Roman" w:cs="Times New Roman"/>
          <w:i/>
          <w:color w:val="0000FF"/>
        </w:rPr>
      </w:pPr>
      <w:r w:rsidRPr="00C81FF5">
        <w:rPr>
          <w:rFonts w:ascii="Times New Roman" w:hAnsi="Times New Roman" w:cs="Times New Roman"/>
          <w:sz w:val="24"/>
          <w:szCs w:val="24"/>
        </w:rPr>
        <w:t>izteikt 2.pielikuma “</w:t>
      </w:r>
      <w:r w:rsidR="002477CA" w:rsidRPr="002477CA">
        <w:rPr>
          <w:rFonts w:ascii="Times New Roman" w:hAnsi="Times New Roman" w:cs="Times New Roman"/>
          <w:sz w:val="24"/>
          <w:szCs w:val="24"/>
        </w:rPr>
        <w:t>Projekta iesnieguma veidlapas aizpildīšanas metodika</w:t>
      </w:r>
      <w:r w:rsidR="00AE2877">
        <w:rPr>
          <w:rFonts w:ascii="Times New Roman" w:hAnsi="Times New Roman" w:cs="Times New Roman"/>
          <w:sz w:val="24"/>
          <w:szCs w:val="24"/>
        </w:rPr>
        <w:t xml:space="preserve">” </w:t>
      </w:r>
      <w:r w:rsidR="00550DEF" w:rsidRPr="00AE2877">
        <w:rPr>
          <w:rFonts w:ascii="Times New Roman" w:hAnsi="Times New Roman" w:cs="Times New Roman"/>
          <w:sz w:val="24"/>
          <w:szCs w:val="24"/>
        </w:rPr>
        <w:t>zem projekta iesnieguma 2.pielikuma “Finansēšanas plāns” aprakstu šādā redakcijā</w:t>
      </w:r>
      <w:r w:rsidR="00756748" w:rsidRPr="00AE2877">
        <w:rPr>
          <w:rFonts w:ascii="Times New Roman" w:hAnsi="Times New Roman" w:cs="Times New Roman"/>
          <w:sz w:val="24"/>
          <w:szCs w:val="24"/>
        </w:rPr>
        <w:t xml:space="preserve"> </w:t>
      </w:r>
    </w:p>
    <w:p w14:paraId="08A9C76C" w14:textId="77777777" w:rsidR="0081339C" w:rsidRPr="00B55C76" w:rsidRDefault="00756748" w:rsidP="0081339C">
      <w:pPr>
        <w:spacing w:after="120" w:line="240" w:lineRule="auto"/>
        <w:ind w:right="142"/>
        <w:jc w:val="both"/>
        <w:rPr>
          <w:rFonts w:ascii="Times New Roman" w:hAnsi="Times New Roman"/>
          <w:i/>
          <w:color w:val="0000FF"/>
        </w:rPr>
      </w:pPr>
      <w:r>
        <w:rPr>
          <w:rFonts w:ascii="Times New Roman" w:hAnsi="Times New Roman" w:cs="Times New Roman"/>
          <w:sz w:val="24"/>
          <w:szCs w:val="24"/>
        </w:rPr>
        <w:t>“</w:t>
      </w:r>
      <w:r w:rsidR="0081339C" w:rsidRPr="00B55C76">
        <w:rPr>
          <w:rFonts w:ascii="Times New Roman" w:hAnsi="Times New Roman"/>
          <w:i/>
          <w:color w:val="0000FF"/>
        </w:rPr>
        <w:t>Projekta “Finansēšanas plānā” (2.</w:t>
      </w:r>
      <w:r w:rsidR="0081339C">
        <w:rPr>
          <w:rFonts w:ascii="Times New Roman" w:hAnsi="Times New Roman"/>
          <w:i/>
          <w:color w:val="0000FF"/>
        </w:rPr>
        <w:t> </w:t>
      </w:r>
      <w:r w:rsidR="0081339C" w:rsidRPr="00B55C76">
        <w:rPr>
          <w:rFonts w:ascii="Times New Roman" w:hAnsi="Times New Roman"/>
          <w:i/>
          <w:color w:val="0000FF"/>
        </w:rPr>
        <w:t>pielikums) norāda projektā plānoto izmaksu sadalījumu pa gadiem un finansēšanas avotiem, nodrošinot atbilstošu finansējuma sadalījuma proporciju katrā īstenošanas gadā, un ievērojot “Projekta īstenošanas laika grafikā” (1.</w:t>
      </w:r>
      <w:r w:rsidR="0081339C">
        <w:rPr>
          <w:rFonts w:ascii="Times New Roman" w:hAnsi="Times New Roman"/>
          <w:i/>
          <w:color w:val="0000FF"/>
        </w:rPr>
        <w:t> </w:t>
      </w:r>
      <w:r w:rsidR="0081339C" w:rsidRPr="00B55C76">
        <w:rPr>
          <w:rFonts w:ascii="Times New Roman" w:hAnsi="Times New Roman"/>
          <w:i/>
          <w:color w:val="0000FF"/>
        </w:rPr>
        <w:t>pielikums) norādīto darbību īstenošanas laika periodu un attiecīgai darbībai nepieciešamo finansējuma apjomu.</w:t>
      </w:r>
    </w:p>
    <w:p w14:paraId="7454229E" w14:textId="77777777" w:rsidR="0081339C" w:rsidRPr="00D11F9F" w:rsidRDefault="0081339C" w:rsidP="0081339C">
      <w:pPr>
        <w:numPr>
          <w:ilvl w:val="0"/>
          <w:numId w:val="8"/>
        </w:numPr>
        <w:spacing w:before="240" w:after="240" w:line="240" w:lineRule="auto"/>
        <w:ind w:left="567" w:right="142" w:hanging="425"/>
        <w:contextualSpacing/>
        <w:jc w:val="both"/>
        <w:rPr>
          <w:rFonts w:ascii="Times New Roman" w:hAnsi="Times New Roman"/>
          <w:i/>
          <w:color w:val="0000FF"/>
          <w:sz w:val="12"/>
          <w:szCs w:val="12"/>
        </w:rPr>
      </w:pPr>
      <w:r w:rsidRPr="000165CE">
        <w:rPr>
          <w:rFonts w:ascii="Times New Roman" w:hAnsi="Times New Roman"/>
          <w:i/>
          <w:color w:val="0000FF"/>
        </w:rPr>
        <w:t>Izmaksas, kas veiktas pirms vienošanās par projekta īstenošanu noslēgšanas no 2016. gada 1. janvāra un atbilstoši MK noteikumu 30. punktam ir attiecināmas projekta ietvaros, finansēšanas plānā jānorāda gadā, kurā tiks noslēgta vienošanās par projekta īstenošanu un/vai tiks iesniegts maksājuma pieprasījums finanšu līdzekļu atmaksai projekta ietvaros.</w:t>
      </w:r>
    </w:p>
    <w:p w14:paraId="5AC103EE" w14:textId="77777777" w:rsidR="0081339C" w:rsidRPr="000165CE" w:rsidRDefault="0081339C" w:rsidP="0081339C">
      <w:pPr>
        <w:numPr>
          <w:ilvl w:val="0"/>
          <w:numId w:val="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Ja projekta iesniedzējs ietvaros paredzējis snieguma ietvara rezerves priekšfinansējumu, to norāda pie cita publiskā finansējuma.</w:t>
      </w:r>
    </w:p>
    <w:p w14:paraId="39C0971B" w14:textId="77777777" w:rsidR="0081339C" w:rsidRPr="00B55C76" w:rsidRDefault="0081339C" w:rsidP="0081339C">
      <w:pPr>
        <w:spacing w:after="240" w:line="240" w:lineRule="auto"/>
        <w:ind w:left="567" w:right="142"/>
        <w:contextualSpacing/>
        <w:jc w:val="both"/>
        <w:rPr>
          <w:rFonts w:ascii="Times New Roman" w:hAnsi="Times New Roman"/>
          <w:i/>
          <w:color w:val="0000FF"/>
          <w:sz w:val="12"/>
          <w:szCs w:val="12"/>
          <w:highlight w:val="yellow"/>
        </w:rPr>
      </w:pPr>
    </w:p>
    <w:p w14:paraId="2C71B1E3" w14:textId="77777777" w:rsidR="0081339C" w:rsidRPr="002139B8" w:rsidRDefault="0081339C" w:rsidP="0081339C">
      <w:pPr>
        <w:numPr>
          <w:ilvl w:val="0"/>
          <w:numId w:val="8"/>
        </w:numPr>
        <w:spacing w:after="0" w:line="240" w:lineRule="auto"/>
        <w:ind w:left="567" w:right="142" w:hanging="425"/>
        <w:contextualSpacing/>
        <w:jc w:val="both"/>
        <w:rPr>
          <w:rFonts w:ascii="Times New Roman" w:hAnsi="Times New Roman"/>
          <w:i/>
          <w:color w:val="0000FF"/>
        </w:rPr>
      </w:pPr>
      <w:r w:rsidRPr="000165CE">
        <w:rPr>
          <w:rFonts w:ascii="Times New Roman" w:hAnsi="Times New Roman"/>
          <w:i/>
          <w:color w:val="0000FF"/>
        </w:rPr>
        <w:t xml:space="preserve">Finansēšanas plānā izmaksas jāplāno atbilstoši MK noteikumu 13. punktā noteiktajam maksimāli pieejamajam </w:t>
      </w:r>
      <w:r w:rsidRPr="002139B8">
        <w:rPr>
          <w:rFonts w:ascii="Times New Roman" w:hAnsi="Times New Roman"/>
          <w:i/>
          <w:color w:val="0000FF"/>
        </w:rPr>
        <w:t>Kohēzijas fonda finansējumam līdz 2018. gada 31. decembrim:</w:t>
      </w:r>
    </w:p>
    <w:p w14:paraId="20C22B75" w14:textId="77777777" w:rsidR="0081339C" w:rsidRPr="000165CE"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Daugavpilij – 7 648</w:t>
      </w:r>
      <w:r w:rsidRPr="000165CE">
        <w:rPr>
          <w:i/>
          <w:color w:val="0000FF"/>
          <w:sz w:val="22"/>
          <w:szCs w:val="22"/>
        </w:rPr>
        <w:t xml:space="preserve"> 420 </w:t>
      </w:r>
      <w:r w:rsidRPr="000165CE">
        <w:rPr>
          <w:i/>
          <w:iCs/>
          <w:color w:val="0000FF"/>
          <w:sz w:val="22"/>
          <w:szCs w:val="22"/>
        </w:rPr>
        <w:t>euro</w:t>
      </w:r>
      <w:r w:rsidRPr="000165CE">
        <w:rPr>
          <w:i/>
          <w:color w:val="0000FF"/>
          <w:sz w:val="22"/>
          <w:szCs w:val="22"/>
        </w:rPr>
        <w:t>;</w:t>
      </w:r>
    </w:p>
    <w:p w14:paraId="5409E0C0" w14:textId="77777777" w:rsidR="0081339C" w:rsidRPr="002139B8"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 xml:space="preserve">Jelgavai – 12 004 303 </w:t>
      </w:r>
      <w:r w:rsidRPr="002139B8">
        <w:rPr>
          <w:i/>
          <w:iCs/>
          <w:color w:val="0000FF"/>
          <w:sz w:val="22"/>
          <w:szCs w:val="22"/>
        </w:rPr>
        <w:t>euro</w:t>
      </w:r>
      <w:r w:rsidRPr="002139B8">
        <w:rPr>
          <w:i/>
          <w:color w:val="0000FF"/>
          <w:sz w:val="22"/>
          <w:szCs w:val="22"/>
        </w:rPr>
        <w:t>;</w:t>
      </w:r>
    </w:p>
    <w:p w14:paraId="19FFF6E6" w14:textId="77777777" w:rsidR="0081339C" w:rsidRPr="002139B8"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 xml:space="preserve">Jūrmalai – 2 711 205 </w:t>
      </w:r>
      <w:r w:rsidRPr="002139B8">
        <w:rPr>
          <w:i/>
          <w:iCs/>
          <w:color w:val="0000FF"/>
          <w:sz w:val="22"/>
          <w:szCs w:val="22"/>
        </w:rPr>
        <w:t>euro</w:t>
      </w:r>
      <w:r w:rsidRPr="002139B8">
        <w:rPr>
          <w:i/>
          <w:color w:val="0000FF"/>
          <w:sz w:val="22"/>
          <w:szCs w:val="22"/>
        </w:rPr>
        <w:t>;</w:t>
      </w:r>
    </w:p>
    <w:p w14:paraId="0BAFA488" w14:textId="77777777" w:rsidR="0081339C" w:rsidRPr="002139B8"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 xml:space="preserve">Jēkabpilij – 5 031 495 </w:t>
      </w:r>
      <w:r w:rsidRPr="002139B8">
        <w:rPr>
          <w:i/>
          <w:iCs/>
          <w:color w:val="0000FF"/>
          <w:sz w:val="22"/>
          <w:szCs w:val="22"/>
        </w:rPr>
        <w:t>euro</w:t>
      </w:r>
      <w:r w:rsidRPr="002139B8">
        <w:rPr>
          <w:i/>
          <w:color w:val="0000FF"/>
          <w:sz w:val="22"/>
          <w:szCs w:val="22"/>
        </w:rPr>
        <w:t>;</w:t>
      </w:r>
    </w:p>
    <w:p w14:paraId="6C47BA1D" w14:textId="77777777" w:rsidR="0081339C" w:rsidRPr="002139B8"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 xml:space="preserve">Liepājai – 4 432 093 </w:t>
      </w:r>
      <w:r w:rsidRPr="002139B8">
        <w:rPr>
          <w:i/>
          <w:iCs/>
          <w:color w:val="0000FF"/>
          <w:sz w:val="22"/>
          <w:szCs w:val="22"/>
        </w:rPr>
        <w:t>euro</w:t>
      </w:r>
      <w:r w:rsidRPr="002139B8">
        <w:rPr>
          <w:i/>
          <w:color w:val="0000FF"/>
          <w:sz w:val="22"/>
          <w:szCs w:val="22"/>
        </w:rPr>
        <w:t>;</w:t>
      </w:r>
    </w:p>
    <w:p w14:paraId="16BBDA08" w14:textId="77777777" w:rsidR="0081339C" w:rsidRPr="002139B8"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 xml:space="preserve">Rēzeknei – 2 392 240 </w:t>
      </w:r>
      <w:r w:rsidRPr="002139B8">
        <w:rPr>
          <w:i/>
          <w:iCs/>
          <w:color w:val="0000FF"/>
          <w:sz w:val="22"/>
          <w:szCs w:val="22"/>
        </w:rPr>
        <w:t>euro</w:t>
      </w:r>
      <w:r w:rsidRPr="002139B8">
        <w:rPr>
          <w:i/>
          <w:color w:val="0000FF"/>
          <w:sz w:val="22"/>
          <w:szCs w:val="22"/>
        </w:rPr>
        <w:t>;</w:t>
      </w:r>
    </w:p>
    <w:p w14:paraId="3FA8232C" w14:textId="77777777" w:rsidR="0081339C" w:rsidRPr="002139B8" w:rsidRDefault="0081339C" w:rsidP="0081339C">
      <w:pPr>
        <w:pStyle w:val="tv2132"/>
        <w:numPr>
          <w:ilvl w:val="0"/>
          <w:numId w:val="13"/>
        </w:numPr>
        <w:spacing w:line="240" w:lineRule="auto"/>
        <w:ind w:left="1434" w:hanging="357"/>
        <w:rPr>
          <w:i/>
          <w:color w:val="0000FF"/>
          <w:sz w:val="22"/>
          <w:szCs w:val="22"/>
        </w:rPr>
      </w:pPr>
      <w:r w:rsidRPr="002139B8">
        <w:rPr>
          <w:i/>
          <w:color w:val="0000FF"/>
          <w:sz w:val="22"/>
          <w:szCs w:val="22"/>
        </w:rPr>
        <w:t xml:space="preserve">Valmierai – 2 870 688 </w:t>
      </w:r>
      <w:r w:rsidRPr="002139B8">
        <w:rPr>
          <w:i/>
          <w:iCs/>
          <w:color w:val="0000FF"/>
          <w:sz w:val="22"/>
          <w:szCs w:val="22"/>
        </w:rPr>
        <w:t>euro</w:t>
      </w:r>
      <w:r w:rsidRPr="002139B8">
        <w:rPr>
          <w:i/>
          <w:color w:val="0000FF"/>
          <w:sz w:val="22"/>
          <w:szCs w:val="22"/>
        </w:rPr>
        <w:t>;</w:t>
      </w:r>
    </w:p>
    <w:p w14:paraId="305A26A7" w14:textId="77777777" w:rsidR="0081339C" w:rsidRPr="002139B8" w:rsidRDefault="0081339C" w:rsidP="0081339C">
      <w:pPr>
        <w:pStyle w:val="tv2132"/>
        <w:numPr>
          <w:ilvl w:val="0"/>
          <w:numId w:val="13"/>
        </w:numPr>
        <w:spacing w:line="240" w:lineRule="auto"/>
        <w:ind w:left="1434" w:hanging="357"/>
        <w:rPr>
          <w:rFonts w:ascii="Arial" w:hAnsi="Arial" w:cs="Arial"/>
          <w:color w:val="0000FF"/>
        </w:rPr>
      </w:pPr>
      <w:r w:rsidRPr="002139B8">
        <w:rPr>
          <w:i/>
          <w:color w:val="0000FF"/>
          <w:sz w:val="22"/>
          <w:szCs w:val="22"/>
        </w:rPr>
        <w:t xml:space="preserve">Ventspilij – 5 047 626 </w:t>
      </w:r>
      <w:r w:rsidRPr="002139B8">
        <w:rPr>
          <w:i/>
          <w:iCs/>
          <w:color w:val="0000FF"/>
          <w:sz w:val="22"/>
          <w:szCs w:val="22"/>
        </w:rPr>
        <w:t>euro</w:t>
      </w:r>
      <w:r w:rsidRPr="002139B8">
        <w:rPr>
          <w:i/>
          <w:color w:val="0000FF"/>
          <w:sz w:val="22"/>
          <w:szCs w:val="22"/>
        </w:rPr>
        <w:t>.</w:t>
      </w:r>
    </w:p>
    <w:p w14:paraId="0D899C14" w14:textId="77777777" w:rsidR="0081339C" w:rsidRPr="002139B8" w:rsidRDefault="0081339C" w:rsidP="0081339C">
      <w:pPr>
        <w:spacing w:after="0" w:line="240" w:lineRule="auto"/>
        <w:ind w:left="567" w:right="142"/>
        <w:contextualSpacing/>
        <w:jc w:val="both"/>
        <w:rPr>
          <w:rFonts w:ascii="Times New Roman" w:hAnsi="Times New Roman"/>
          <w:i/>
          <w:color w:val="0000FF"/>
        </w:rPr>
      </w:pPr>
    </w:p>
    <w:p w14:paraId="733562B6" w14:textId="77777777" w:rsidR="0081339C" w:rsidRPr="002139B8" w:rsidRDefault="0081339C" w:rsidP="0081339C">
      <w:pPr>
        <w:spacing w:after="240" w:line="240" w:lineRule="auto"/>
        <w:ind w:left="567" w:right="142"/>
        <w:contextualSpacing/>
        <w:jc w:val="both"/>
        <w:rPr>
          <w:rFonts w:ascii="Times New Roman" w:hAnsi="Times New Roman"/>
          <w:i/>
          <w:color w:val="0000FF"/>
          <w:sz w:val="12"/>
          <w:szCs w:val="12"/>
        </w:rPr>
      </w:pPr>
    </w:p>
    <w:p w14:paraId="6218C9D7" w14:textId="77777777" w:rsidR="0081339C" w:rsidRPr="002139B8" w:rsidRDefault="0081339C" w:rsidP="0081339C">
      <w:pPr>
        <w:numPr>
          <w:ilvl w:val="0"/>
          <w:numId w:val="8"/>
        </w:numPr>
        <w:spacing w:after="0" w:line="240" w:lineRule="auto"/>
        <w:ind w:left="567" w:right="142" w:hanging="425"/>
        <w:contextualSpacing/>
        <w:jc w:val="both"/>
        <w:rPr>
          <w:rFonts w:ascii="Times New Roman" w:hAnsi="Times New Roman"/>
          <w:i/>
          <w:color w:val="0000FF"/>
        </w:rPr>
      </w:pPr>
      <w:r w:rsidRPr="002139B8">
        <w:rPr>
          <w:rFonts w:ascii="Times New Roman" w:hAnsi="Times New Roman"/>
          <w:i/>
          <w:color w:val="0000FF"/>
        </w:rPr>
        <w:t>Saskaņā ar MK noteikumu 11. punktu nacionālā finansējuma nodrošinājuma ietvaros finansējuma saņēmējs var pretendēt uz valsts budžeta dotāciju atbilstoši normatīvajiem aktiem par valsts budžeta dotācijas piešķiršanu pašvaldībām Eiropas Savienības struktūrfondu un Kohēzijas fonda 2014.–2020. gada plānošanas periodā līdzfinansēto projektu īstenošanai.</w:t>
      </w:r>
    </w:p>
    <w:p w14:paraId="6C042255" w14:textId="77777777" w:rsidR="0081339C" w:rsidRPr="002139B8" w:rsidRDefault="0081339C" w:rsidP="0081339C">
      <w:pPr>
        <w:spacing w:after="0" w:line="240" w:lineRule="auto"/>
        <w:ind w:right="142"/>
        <w:jc w:val="both"/>
        <w:rPr>
          <w:rFonts w:ascii="Times New Roman" w:hAnsi="Times New Roman"/>
          <w:i/>
          <w:color w:val="0000FF"/>
          <w:sz w:val="12"/>
          <w:szCs w:val="12"/>
        </w:rPr>
      </w:pPr>
    </w:p>
    <w:p w14:paraId="75A5FFED" w14:textId="77777777" w:rsidR="0081339C" w:rsidRPr="002139B8" w:rsidRDefault="0081339C" w:rsidP="0081339C">
      <w:pPr>
        <w:numPr>
          <w:ilvl w:val="0"/>
          <w:numId w:val="8"/>
        </w:numPr>
        <w:spacing w:after="240" w:line="240" w:lineRule="auto"/>
        <w:ind w:left="567" w:right="142" w:hanging="425"/>
        <w:contextualSpacing/>
        <w:jc w:val="both"/>
        <w:rPr>
          <w:rFonts w:ascii="Times New Roman" w:hAnsi="Times New Roman"/>
          <w:i/>
          <w:color w:val="0000FF"/>
        </w:rPr>
      </w:pPr>
      <w:r w:rsidRPr="002139B8">
        <w:rPr>
          <w:rFonts w:ascii="Times New Roman" w:hAnsi="Times New Roman"/>
          <w:i/>
          <w:color w:val="0000FF"/>
        </w:rPr>
        <w:t>Projekta iesniedzējam finansējuma sadalījums pa gadiem nodrošina tādu finanšu plūsmu, ka līdz 2017.gada 31.decembrim projektā kopumā tiek plānoti attiecināmie izdevumi šādā noteiktā  finanšu rādītāja vērtības apmērā:</w:t>
      </w:r>
    </w:p>
    <w:p w14:paraId="7C581A69" w14:textId="77777777" w:rsidR="0081339C" w:rsidRPr="002139B8"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2139B8">
        <w:rPr>
          <w:rFonts w:ascii="Times New Roman" w:hAnsi="Times New Roman"/>
          <w:i/>
          <w:color w:val="0000FF"/>
        </w:rPr>
        <w:t>1. Daugavpils – 1 135 920,45 euro;</w:t>
      </w:r>
    </w:p>
    <w:p w14:paraId="5AFA1CF6" w14:textId="77777777" w:rsidR="0081339C" w:rsidRPr="002139B8"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2139B8">
        <w:rPr>
          <w:rFonts w:ascii="Times New Roman" w:hAnsi="Times New Roman"/>
          <w:i/>
          <w:color w:val="0000FF"/>
        </w:rPr>
        <w:t>2. Jelgava – 2 256 999,72 euro;</w:t>
      </w:r>
    </w:p>
    <w:p w14:paraId="4835FC15" w14:textId="77777777" w:rsidR="0081339C" w:rsidRPr="002139B8"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2139B8">
        <w:rPr>
          <w:rFonts w:ascii="Times New Roman" w:hAnsi="Times New Roman"/>
          <w:i/>
          <w:color w:val="0000FF"/>
        </w:rPr>
        <w:t>3.  Jūrmala – 0 euro;</w:t>
      </w:r>
    </w:p>
    <w:p w14:paraId="5A148EFD" w14:textId="77777777" w:rsidR="0081339C" w:rsidRPr="00FE2BAB"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2139B8">
        <w:rPr>
          <w:rFonts w:ascii="Times New Roman" w:hAnsi="Times New Roman"/>
          <w:i/>
          <w:color w:val="0000FF"/>
        </w:rPr>
        <w:t>4.  Jēkabpils – 858 224,06 euro</w:t>
      </w:r>
      <w:r w:rsidRPr="00FE2BAB">
        <w:rPr>
          <w:rFonts w:ascii="Times New Roman" w:hAnsi="Times New Roman"/>
          <w:i/>
          <w:color w:val="0000FF"/>
        </w:rPr>
        <w:t>;</w:t>
      </w:r>
    </w:p>
    <w:p w14:paraId="61BE662F" w14:textId="77777777" w:rsidR="0081339C" w:rsidRPr="00FE2BAB"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FE2BAB">
        <w:rPr>
          <w:rFonts w:ascii="Times New Roman" w:hAnsi="Times New Roman"/>
          <w:i/>
          <w:color w:val="0000FF"/>
        </w:rPr>
        <w:t>5. Liepāja – 681</w:t>
      </w:r>
      <w:r>
        <w:rPr>
          <w:rFonts w:ascii="Times New Roman" w:hAnsi="Times New Roman"/>
          <w:i/>
          <w:color w:val="0000FF"/>
        </w:rPr>
        <w:t> </w:t>
      </w:r>
      <w:r w:rsidRPr="00FE2BAB">
        <w:rPr>
          <w:rFonts w:ascii="Times New Roman" w:hAnsi="Times New Roman"/>
          <w:i/>
          <w:color w:val="0000FF"/>
        </w:rPr>
        <w:t>264</w:t>
      </w:r>
      <w:r>
        <w:rPr>
          <w:rFonts w:ascii="Times New Roman" w:hAnsi="Times New Roman"/>
          <w:i/>
          <w:color w:val="0000FF"/>
        </w:rPr>
        <w:t>,</w:t>
      </w:r>
      <w:r w:rsidRPr="00FE2BAB">
        <w:rPr>
          <w:rFonts w:ascii="Times New Roman" w:hAnsi="Times New Roman"/>
          <w:i/>
          <w:color w:val="0000FF"/>
        </w:rPr>
        <w:t>86 euro;</w:t>
      </w:r>
    </w:p>
    <w:p w14:paraId="606316F4" w14:textId="77777777" w:rsidR="0081339C" w:rsidRPr="00FE2BAB"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FE2BAB">
        <w:rPr>
          <w:rFonts w:ascii="Times New Roman" w:hAnsi="Times New Roman"/>
          <w:i/>
          <w:color w:val="0000FF"/>
        </w:rPr>
        <w:t>6. Rēzekne – 392</w:t>
      </w:r>
      <w:r>
        <w:rPr>
          <w:rFonts w:ascii="Times New Roman" w:hAnsi="Times New Roman"/>
          <w:i/>
          <w:color w:val="0000FF"/>
        </w:rPr>
        <w:t> </w:t>
      </w:r>
      <w:r w:rsidRPr="00FE2BAB">
        <w:rPr>
          <w:rFonts w:ascii="Times New Roman" w:hAnsi="Times New Roman"/>
          <w:i/>
          <w:color w:val="0000FF"/>
        </w:rPr>
        <w:t>914</w:t>
      </w:r>
      <w:r>
        <w:rPr>
          <w:rFonts w:ascii="Times New Roman" w:hAnsi="Times New Roman"/>
          <w:i/>
          <w:color w:val="0000FF"/>
        </w:rPr>
        <w:t>,</w:t>
      </w:r>
      <w:r w:rsidRPr="00FE2BAB">
        <w:rPr>
          <w:rFonts w:ascii="Times New Roman" w:hAnsi="Times New Roman"/>
          <w:i/>
          <w:color w:val="0000FF"/>
        </w:rPr>
        <w:t>07  euro;</w:t>
      </w:r>
    </w:p>
    <w:p w14:paraId="54746E79" w14:textId="77777777" w:rsidR="0081339C" w:rsidRPr="00FE2BAB"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FE2BAB">
        <w:rPr>
          <w:rFonts w:ascii="Times New Roman" w:hAnsi="Times New Roman"/>
          <w:i/>
          <w:color w:val="0000FF"/>
        </w:rPr>
        <w:t>7.Valmiera – 460</w:t>
      </w:r>
      <w:r>
        <w:rPr>
          <w:rFonts w:ascii="Times New Roman" w:hAnsi="Times New Roman"/>
          <w:i/>
          <w:color w:val="0000FF"/>
        </w:rPr>
        <w:t> </w:t>
      </w:r>
      <w:r w:rsidRPr="00FE2BAB">
        <w:rPr>
          <w:rFonts w:ascii="Times New Roman" w:hAnsi="Times New Roman"/>
          <w:i/>
          <w:color w:val="0000FF"/>
        </w:rPr>
        <w:t>546</w:t>
      </w:r>
      <w:r>
        <w:rPr>
          <w:rFonts w:ascii="Times New Roman" w:hAnsi="Times New Roman"/>
          <w:i/>
          <w:color w:val="0000FF"/>
        </w:rPr>
        <w:t>,</w:t>
      </w:r>
      <w:r w:rsidRPr="00FE2BAB">
        <w:rPr>
          <w:rFonts w:ascii="Times New Roman" w:hAnsi="Times New Roman"/>
          <w:i/>
          <w:color w:val="0000FF"/>
        </w:rPr>
        <w:t>83 euro;</w:t>
      </w:r>
    </w:p>
    <w:p w14:paraId="11BEFE03" w14:textId="77777777" w:rsidR="0081339C" w:rsidRDefault="0081339C" w:rsidP="0081339C">
      <w:pPr>
        <w:numPr>
          <w:ilvl w:val="0"/>
          <w:numId w:val="14"/>
        </w:numPr>
        <w:spacing w:after="240" w:line="240" w:lineRule="auto"/>
        <w:ind w:left="1560" w:right="142"/>
        <w:contextualSpacing/>
        <w:jc w:val="both"/>
        <w:rPr>
          <w:rFonts w:ascii="Times New Roman" w:hAnsi="Times New Roman"/>
          <w:i/>
          <w:color w:val="0000FF"/>
        </w:rPr>
      </w:pPr>
      <w:r w:rsidRPr="00FE2BAB">
        <w:rPr>
          <w:rFonts w:ascii="Times New Roman" w:hAnsi="Times New Roman"/>
          <w:i/>
          <w:color w:val="0000FF"/>
        </w:rPr>
        <w:t>8.Ventspils – 768</w:t>
      </w:r>
      <w:r>
        <w:rPr>
          <w:rFonts w:ascii="Times New Roman" w:hAnsi="Times New Roman"/>
          <w:i/>
          <w:color w:val="0000FF"/>
        </w:rPr>
        <w:t> </w:t>
      </w:r>
      <w:r w:rsidRPr="00FE2BAB">
        <w:rPr>
          <w:rFonts w:ascii="Times New Roman" w:hAnsi="Times New Roman"/>
          <w:i/>
          <w:color w:val="0000FF"/>
        </w:rPr>
        <w:t>275</w:t>
      </w:r>
      <w:r>
        <w:rPr>
          <w:rFonts w:ascii="Times New Roman" w:hAnsi="Times New Roman"/>
          <w:i/>
          <w:color w:val="0000FF"/>
        </w:rPr>
        <w:t>,</w:t>
      </w:r>
      <w:r w:rsidRPr="00FE2BAB">
        <w:rPr>
          <w:rFonts w:ascii="Times New Roman" w:hAnsi="Times New Roman"/>
          <w:i/>
          <w:color w:val="0000FF"/>
        </w:rPr>
        <w:t>78 euro.</w:t>
      </w:r>
    </w:p>
    <w:p w14:paraId="00193119" w14:textId="77777777" w:rsidR="0081339C" w:rsidRDefault="0081339C" w:rsidP="0081339C">
      <w:pPr>
        <w:spacing w:after="240" w:line="240" w:lineRule="auto"/>
        <w:ind w:right="142"/>
        <w:contextualSpacing/>
        <w:jc w:val="both"/>
        <w:rPr>
          <w:rFonts w:ascii="Times New Roman" w:hAnsi="Times New Roman"/>
          <w:i/>
          <w:color w:val="0000FF"/>
        </w:rPr>
      </w:pPr>
    </w:p>
    <w:p w14:paraId="67237BB3" w14:textId="617D2D0C" w:rsidR="0081339C" w:rsidRPr="002139B8" w:rsidRDefault="0081339C" w:rsidP="0081339C">
      <w:pPr>
        <w:spacing w:after="240" w:line="240" w:lineRule="auto"/>
        <w:ind w:right="142"/>
        <w:contextualSpacing/>
        <w:jc w:val="both"/>
        <w:rPr>
          <w:rFonts w:ascii="Times New Roman" w:hAnsi="Times New Roman"/>
          <w:i/>
          <w:color w:val="0000FF"/>
        </w:rPr>
      </w:pPr>
      <w:r>
        <w:rPr>
          <w:rFonts w:ascii="Times New Roman" w:hAnsi="Times New Roman"/>
          <w:i/>
          <w:color w:val="0000FF"/>
        </w:rPr>
        <w:t>J</w:t>
      </w:r>
      <w:r w:rsidRPr="00FE2BAB">
        <w:rPr>
          <w:rFonts w:ascii="Times New Roman" w:hAnsi="Times New Roman"/>
          <w:i/>
          <w:color w:val="0000FF"/>
        </w:rPr>
        <w:t xml:space="preserve">a projekta iesnieguma 2.pielikumā </w:t>
      </w:r>
      <w:r w:rsidRPr="002139B8">
        <w:rPr>
          <w:rFonts w:ascii="Times New Roman" w:hAnsi="Times New Roman"/>
          <w:i/>
          <w:color w:val="0000FF"/>
        </w:rPr>
        <w:t>plānotā finanšu plūsma līdz 2017.gada beigām nesasniedz noteiktā finanšu rādītāja apmēru, rādītāja izpildi nodrošina pēc šāda algoritma: n1 + (n2 x 50%) ≥ F, kur n1 = projekta finansējums 2017.gadā, n2 = projekta finansējums 2018.gadā un F = finansējuma saņēmējam noteiktais finanšu rādītājs (līdz 2018.gadam sertificēti izdevumi).</w:t>
      </w:r>
    </w:p>
    <w:p w14:paraId="574D6E39" w14:textId="77777777" w:rsidR="0081339C" w:rsidRPr="002139B8" w:rsidRDefault="0081339C" w:rsidP="0081339C">
      <w:pPr>
        <w:spacing w:after="240" w:line="240" w:lineRule="auto"/>
        <w:ind w:left="567" w:right="142"/>
        <w:contextualSpacing/>
        <w:jc w:val="both"/>
        <w:rPr>
          <w:rFonts w:ascii="Times New Roman" w:hAnsi="Times New Roman"/>
          <w:i/>
          <w:color w:val="0000FF"/>
          <w:sz w:val="12"/>
          <w:szCs w:val="12"/>
          <w:highlight w:val="yellow"/>
        </w:rPr>
      </w:pPr>
    </w:p>
    <w:p w14:paraId="508A65A2" w14:textId="77777777" w:rsidR="0081339C" w:rsidRPr="002139B8" w:rsidRDefault="0081339C" w:rsidP="0081339C">
      <w:pPr>
        <w:numPr>
          <w:ilvl w:val="0"/>
          <w:numId w:val="8"/>
        </w:numPr>
        <w:spacing w:after="0" w:line="240" w:lineRule="auto"/>
        <w:ind w:left="567" w:right="142" w:hanging="425"/>
        <w:contextualSpacing/>
        <w:jc w:val="both"/>
        <w:rPr>
          <w:rFonts w:ascii="Times New Roman" w:hAnsi="Times New Roman"/>
          <w:i/>
          <w:color w:val="0000FF"/>
        </w:rPr>
      </w:pPr>
      <w:r w:rsidRPr="002139B8">
        <w:rPr>
          <w:rFonts w:ascii="Times New Roman" w:hAnsi="Times New Roman"/>
          <w:i/>
          <w:color w:val="0000FF"/>
        </w:rPr>
        <w:lastRenderedPageBreak/>
        <w:t>No 2019 .gada 1. janvāra atbildīgā iestāde pēc Eiropas Komisijas lēmuma par izpildi un snieguma rezerves piešķiršanu var ierosināt sadarbības iestādei palielināt projektam pieejamo Kohēzijas fonda finansējumu līdz MK noteikumu 9. punktā minētajam apmēram, bet nepārsniedzot MK noteikumu 10. punktā minēto maksimālo Kohēzijas fonda finansējuma apjomu, saskaņā ar MK noteikumu 15. punktā noteikto.</w:t>
      </w:r>
    </w:p>
    <w:p w14:paraId="6869EB64" w14:textId="77777777" w:rsidR="0081339C" w:rsidRPr="002139B8" w:rsidRDefault="0081339C" w:rsidP="0081339C">
      <w:pPr>
        <w:spacing w:after="240" w:line="240" w:lineRule="auto"/>
        <w:ind w:left="567" w:right="142"/>
        <w:contextualSpacing/>
        <w:jc w:val="both"/>
        <w:rPr>
          <w:rFonts w:ascii="Times New Roman" w:hAnsi="Times New Roman"/>
          <w:i/>
          <w:color w:val="0000FF"/>
          <w:sz w:val="12"/>
          <w:szCs w:val="12"/>
        </w:rPr>
      </w:pPr>
    </w:p>
    <w:p w14:paraId="4278389D" w14:textId="77777777" w:rsidR="0081339C" w:rsidRPr="000165CE" w:rsidRDefault="0081339C" w:rsidP="0081339C">
      <w:pPr>
        <w:numPr>
          <w:ilvl w:val="0"/>
          <w:numId w:val="8"/>
        </w:numPr>
        <w:spacing w:after="0" w:line="240" w:lineRule="auto"/>
        <w:ind w:left="567" w:right="142" w:hanging="425"/>
        <w:contextualSpacing/>
        <w:jc w:val="both"/>
        <w:rPr>
          <w:rFonts w:ascii="Times New Roman" w:hAnsi="Times New Roman"/>
          <w:i/>
          <w:color w:val="0000FF"/>
        </w:rPr>
      </w:pPr>
      <w:r w:rsidRPr="002139B8">
        <w:rPr>
          <w:rFonts w:ascii="Times New Roman" w:hAnsi="Times New Roman"/>
          <w:i/>
          <w:color w:val="0000FF"/>
        </w:rPr>
        <w:t xml:space="preserve">Ja projekta īstenošanas gaitā, tai skaitā pēc projekta vajadzībām veiktajiem iepirkumiem, ir izveidojies finanšu ietaupījums, papildus </w:t>
      </w:r>
      <w:r w:rsidRPr="000165CE">
        <w:rPr>
          <w:rFonts w:ascii="Times New Roman" w:hAnsi="Times New Roman"/>
          <w:i/>
          <w:color w:val="0000FF"/>
        </w:rPr>
        <w:t>MK noteikumu 15. punktā minētajam sadarbības iestāde, saskaņojot to ar atbildīgo iestādi, var lemt par līdzekļu papildu piešķiršanu vai pārdali, saskaņā ar MK noteikumu 16. punktā noteikto.</w:t>
      </w:r>
    </w:p>
    <w:p w14:paraId="1920BE59" w14:textId="77777777" w:rsidR="0081339C" w:rsidRPr="000165CE" w:rsidRDefault="0081339C" w:rsidP="0081339C">
      <w:pPr>
        <w:spacing w:after="240" w:line="240" w:lineRule="auto"/>
        <w:ind w:left="567" w:right="142"/>
        <w:contextualSpacing/>
        <w:jc w:val="both"/>
        <w:rPr>
          <w:rFonts w:ascii="Times New Roman" w:hAnsi="Times New Roman"/>
          <w:i/>
          <w:color w:val="0000FF"/>
          <w:sz w:val="12"/>
          <w:szCs w:val="12"/>
        </w:rPr>
      </w:pPr>
    </w:p>
    <w:p w14:paraId="1833119C" w14:textId="77777777" w:rsidR="0081339C" w:rsidRPr="000165CE" w:rsidRDefault="0081339C" w:rsidP="0081339C">
      <w:pPr>
        <w:numPr>
          <w:ilvl w:val="0"/>
          <w:numId w:val="8"/>
        </w:numPr>
        <w:spacing w:after="0" w:line="240" w:lineRule="auto"/>
        <w:ind w:left="567" w:right="142" w:hanging="425"/>
        <w:contextualSpacing/>
        <w:jc w:val="both"/>
        <w:rPr>
          <w:rFonts w:ascii="Times New Roman" w:hAnsi="Times New Roman"/>
          <w:i/>
          <w:color w:val="0000FF"/>
        </w:rPr>
      </w:pPr>
      <w:r w:rsidRPr="000165CE">
        <w:rPr>
          <w:rFonts w:ascii="Times New Roman" w:hAnsi="Times New Roman"/>
          <w:i/>
          <w:color w:val="0000FF"/>
        </w:rPr>
        <w:t>Ja pasākuma ietvaros papildus MK noteikumu 15. un 16. punktā minētajam ir pieejams Kohēzijas fonda finansējums, sadarbības iestāde, saskaņojot to ar atbildīgo iestādi, var lemt par līdzekļu papildu piešķiršanu, saskaņā ar MK 17. punktā noteikto.</w:t>
      </w:r>
    </w:p>
    <w:p w14:paraId="7A3746C4" w14:textId="77777777" w:rsidR="0081339C" w:rsidRPr="000165CE" w:rsidRDefault="0081339C" w:rsidP="0081339C">
      <w:pPr>
        <w:spacing w:after="240" w:line="240" w:lineRule="auto"/>
        <w:ind w:left="567" w:right="142"/>
        <w:contextualSpacing/>
        <w:jc w:val="both"/>
        <w:rPr>
          <w:rFonts w:ascii="Times New Roman" w:hAnsi="Times New Roman"/>
          <w:i/>
          <w:color w:val="0000FF"/>
          <w:sz w:val="12"/>
          <w:szCs w:val="12"/>
        </w:rPr>
      </w:pPr>
    </w:p>
    <w:p w14:paraId="35A2B6C7" w14:textId="77777777" w:rsidR="0081339C" w:rsidRPr="000165CE" w:rsidRDefault="0081339C" w:rsidP="0081339C">
      <w:pPr>
        <w:numPr>
          <w:ilvl w:val="0"/>
          <w:numId w:val="8"/>
        </w:numPr>
        <w:spacing w:after="0" w:line="240" w:lineRule="auto"/>
        <w:ind w:left="567" w:right="142" w:hanging="425"/>
        <w:contextualSpacing/>
        <w:jc w:val="both"/>
        <w:rPr>
          <w:rFonts w:ascii="Times New Roman" w:hAnsi="Times New Roman"/>
          <w:i/>
          <w:color w:val="0000FF"/>
        </w:rPr>
      </w:pPr>
      <w:r w:rsidRPr="000165CE">
        <w:rPr>
          <w:rFonts w:ascii="Times New Roman" w:hAnsi="Times New Roman"/>
          <w:i/>
          <w:color w:val="0000FF"/>
        </w:rPr>
        <w:t>Atbilstoši MK noteikumu 10. punktam Kohēzijas fonda finansējums nevar pārsniegt 85% no projektam plānotā kopējā attiecināmā finansējuma, t.i., attiecīgi kolonnā “Kopā” norādītais  procentuālais apmērs nevar pārsniegt 85 %.</w:t>
      </w:r>
    </w:p>
    <w:p w14:paraId="3E4AC796" w14:textId="77777777" w:rsidR="0081339C" w:rsidRPr="00B55C76" w:rsidRDefault="0081339C" w:rsidP="0081339C">
      <w:pPr>
        <w:tabs>
          <w:tab w:val="left" w:pos="10170"/>
          <w:tab w:val="left" w:pos="13325"/>
        </w:tabs>
        <w:spacing w:after="0"/>
        <w:ind w:right="142"/>
        <w:contextualSpacing/>
        <w:jc w:val="both"/>
        <w:rPr>
          <w:rFonts w:ascii="Times New Roman" w:hAnsi="Times New Roman"/>
          <w:b/>
          <w:i/>
          <w:color w:val="0000FF"/>
        </w:rPr>
      </w:pPr>
    </w:p>
    <w:p w14:paraId="55D7906B" w14:textId="77777777" w:rsidR="0081339C" w:rsidRPr="00B55C76" w:rsidRDefault="0081339C" w:rsidP="0081339C">
      <w:pPr>
        <w:spacing w:after="0"/>
        <w:ind w:right="142"/>
        <w:jc w:val="both"/>
        <w:rPr>
          <w:rFonts w:ascii="Times New Roman" w:hAnsi="Times New Roman"/>
          <w:b/>
          <w:i/>
          <w:color w:val="0000FF"/>
        </w:rPr>
      </w:pPr>
      <w:r w:rsidRPr="00B55C76">
        <w:rPr>
          <w:rFonts w:ascii="Times New Roman" w:hAnsi="Times New Roman"/>
          <w:b/>
          <w:i/>
          <w:color w:val="0000FF"/>
        </w:rPr>
        <w:t>Finansēšanas plānā:</w:t>
      </w:r>
    </w:p>
    <w:p w14:paraId="49CC4B49" w14:textId="77777777" w:rsidR="0081339C" w:rsidRPr="00B55C76" w:rsidRDefault="0081339C" w:rsidP="0081339C">
      <w:pPr>
        <w:numPr>
          <w:ilvl w:val="0"/>
          <w:numId w:val="7"/>
        </w:numPr>
        <w:spacing w:after="0" w:line="256" w:lineRule="auto"/>
        <w:ind w:right="142"/>
        <w:contextualSpacing/>
        <w:jc w:val="both"/>
        <w:rPr>
          <w:rFonts w:ascii="Times New Roman" w:hAnsi="Times New Roman"/>
          <w:i/>
          <w:color w:val="0000FF"/>
        </w:rPr>
      </w:pPr>
      <w:r w:rsidRPr="00B55C76">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3D71175F" w14:textId="77777777" w:rsidR="0081339C" w:rsidRPr="00B55C76" w:rsidRDefault="0081339C" w:rsidP="0081339C">
      <w:pPr>
        <w:numPr>
          <w:ilvl w:val="0"/>
          <w:numId w:val="7"/>
        </w:numPr>
        <w:spacing w:after="0" w:line="256" w:lineRule="auto"/>
        <w:ind w:right="142"/>
        <w:contextualSpacing/>
        <w:jc w:val="both"/>
        <w:rPr>
          <w:rFonts w:ascii="Times New Roman" w:hAnsi="Times New Roman"/>
          <w:i/>
          <w:color w:val="0000FF"/>
        </w:rPr>
      </w:pPr>
      <w:r w:rsidRPr="00B55C76">
        <w:rPr>
          <w:rFonts w:ascii="Times New Roman" w:hAnsi="Times New Roman"/>
          <w:i/>
          <w:color w:val="0000FF"/>
        </w:rPr>
        <w:t xml:space="preserve">projekta iesniedzējs aizpilda tabulu, norādot attiecīgās summas “baltajās” šūnās, pārējie tabulas lauki aizpildās automātiski, taču </w:t>
      </w:r>
      <w:r w:rsidRPr="00B55C76">
        <w:rPr>
          <w:rFonts w:ascii="Times New Roman" w:hAnsi="Times New Roman"/>
          <w:b/>
          <w:i/>
          <w:color w:val="0000FF"/>
        </w:rPr>
        <w:t>projekta iesniedzēja pienākums ir pārliecināties par veikto aprēķinu pareizību</w:t>
      </w:r>
      <w:r w:rsidRPr="00B55C76">
        <w:rPr>
          <w:rFonts w:ascii="Times New Roman" w:hAnsi="Times New Roman"/>
          <w:i/>
          <w:color w:val="0000FF"/>
        </w:rPr>
        <w:t>;</w:t>
      </w:r>
    </w:p>
    <w:p w14:paraId="369A67E9" w14:textId="77777777" w:rsidR="0081339C" w:rsidRPr="00B55C76" w:rsidRDefault="0081339C" w:rsidP="0081339C">
      <w:pPr>
        <w:numPr>
          <w:ilvl w:val="0"/>
          <w:numId w:val="7"/>
        </w:numPr>
        <w:spacing w:after="0" w:line="256" w:lineRule="auto"/>
        <w:ind w:right="142"/>
        <w:contextualSpacing/>
        <w:jc w:val="both"/>
        <w:rPr>
          <w:rFonts w:ascii="Times New Roman" w:hAnsi="Times New Roman"/>
          <w:i/>
          <w:color w:val="0000FF"/>
        </w:rPr>
      </w:pPr>
      <w:r w:rsidRPr="00B55C76">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5C912BA9" w14:textId="77777777" w:rsidR="0081339C" w:rsidRPr="00B55C76" w:rsidRDefault="0081339C" w:rsidP="0081339C">
      <w:pPr>
        <w:numPr>
          <w:ilvl w:val="0"/>
          <w:numId w:val="7"/>
        </w:numPr>
        <w:spacing w:after="0" w:line="256" w:lineRule="auto"/>
        <w:ind w:right="142"/>
        <w:contextualSpacing/>
        <w:jc w:val="both"/>
        <w:rPr>
          <w:rFonts w:ascii="Times New Roman" w:hAnsi="Times New Roman"/>
          <w:i/>
          <w:color w:val="0000FF"/>
        </w:rPr>
      </w:pPr>
      <w:r w:rsidRPr="00B55C76">
        <w:rPr>
          <w:rFonts w:ascii="Times New Roman" w:hAnsi="Times New Roman"/>
          <w:i/>
          <w:color w:val="0000FF"/>
        </w:rPr>
        <w:t>ja attiecīgajā gadā kādā ailē nav plānots finansējums, norāda “0,00”.</w:t>
      </w:r>
    </w:p>
    <w:p w14:paraId="4844E050" w14:textId="77777777" w:rsidR="0081339C" w:rsidRPr="00B55C76" w:rsidRDefault="0081339C" w:rsidP="0081339C">
      <w:pPr>
        <w:spacing w:line="256" w:lineRule="auto"/>
        <w:ind w:left="284" w:right="142"/>
        <w:contextualSpacing/>
        <w:jc w:val="both"/>
        <w:rPr>
          <w:rFonts w:ascii="Times New Roman" w:hAnsi="Times New Roman"/>
          <w:i/>
          <w:color w:val="0000FF"/>
        </w:rPr>
      </w:pPr>
    </w:p>
    <w:p w14:paraId="155E48D0" w14:textId="77777777" w:rsidR="0081339C" w:rsidRPr="00B55C76" w:rsidRDefault="0081339C" w:rsidP="0081339C">
      <w:pPr>
        <w:spacing w:after="0"/>
        <w:ind w:right="142"/>
        <w:contextualSpacing/>
        <w:jc w:val="both"/>
        <w:rPr>
          <w:rFonts w:ascii="Times New Roman" w:hAnsi="Times New Roman"/>
          <w:i/>
          <w:color w:val="0000FF"/>
          <w:sz w:val="8"/>
          <w:szCs w:val="8"/>
          <w:highlight w:val="yellow"/>
        </w:rPr>
      </w:pPr>
    </w:p>
    <w:p w14:paraId="5671108F" w14:textId="186C0F1E" w:rsidR="00261C2D" w:rsidRPr="00F01638" w:rsidRDefault="0081339C" w:rsidP="0081339C">
      <w:pPr>
        <w:spacing w:after="0" w:line="240" w:lineRule="auto"/>
        <w:ind w:left="284" w:right="142"/>
        <w:jc w:val="both"/>
        <w:rPr>
          <w:rFonts w:ascii="Times New Roman" w:hAnsi="Times New Roman"/>
          <w:i/>
          <w:color w:val="0000FF"/>
        </w:rPr>
      </w:pPr>
      <w:r w:rsidRPr="000165CE">
        <w:rPr>
          <w:rFonts w:ascii="Times New Roman" w:hAnsi="Times New Roman"/>
          <w:i/>
          <w:color w:val="0000FF"/>
        </w:rPr>
        <w:t>Plānojot finansējuma sadalījumu pa gadiem, jāņem vērā, ka 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 jāņem vērā, ka attiecīgi abos gados tiks maksāts pēc MK noteikumos noteiktās vienotās likmes, t.i. 15 %, apmērā. Atbilstoši MK noteikumu 30. punktam netiešās izmaksas projektā var attiecināt no 2016. gada 1. janvāra</w:t>
      </w:r>
      <w:r>
        <w:rPr>
          <w:rFonts w:ascii="Times New Roman" w:hAnsi="Times New Roman"/>
          <w:i/>
          <w:color w:val="0000FF"/>
        </w:rPr>
        <w:t>.</w:t>
      </w:r>
      <w:r w:rsidR="00756748" w:rsidRPr="00F01638">
        <w:rPr>
          <w:rFonts w:ascii="Times New Roman" w:hAnsi="Times New Roman" w:cs="Times New Roman"/>
          <w:sz w:val="24"/>
          <w:szCs w:val="24"/>
        </w:rPr>
        <w:t>”;</w:t>
      </w:r>
    </w:p>
    <w:p w14:paraId="51F18691" w14:textId="77777777" w:rsidR="00764DAB" w:rsidRDefault="00764DAB" w:rsidP="00292A44">
      <w:pPr>
        <w:spacing w:after="0" w:line="240" w:lineRule="auto"/>
        <w:jc w:val="both"/>
        <w:rPr>
          <w:rFonts w:ascii="Times New Roman" w:hAnsi="Times New Roman" w:cs="Times New Roman"/>
          <w:sz w:val="24"/>
          <w:szCs w:val="24"/>
        </w:rPr>
      </w:pPr>
    </w:p>
    <w:p w14:paraId="275C7761" w14:textId="028C96FE" w:rsidR="00545051" w:rsidRDefault="001514D6" w:rsidP="00292A44">
      <w:pPr>
        <w:spacing w:after="0" w:line="240" w:lineRule="auto"/>
        <w:jc w:val="both"/>
        <w:rPr>
          <w:rFonts w:ascii="Times New Roman" w:hAnsi="Times New Roman" w:cs="Times New Roman"/>
          <w:sz w:val="24"/>
          <w:szCs w:val="24"/>
        </w:rPr>
        <w:sectPr w:rsidR="00545051" w:rsidSect="00E843D5">
          <w:footerReference w:type="default" r:id="rId8"/>
          <w:pgSz w:w="11906" w:h="16838" w:code="9"/>
          <w:pgMar w:top="851" w:right="1276" w:bottom="1134" w:left="1418" w:header="709" w:footer="709" w:gutter="0"/>
          <w:cols w:space="708"/>
          <w:docGrid w:linePitch="360"/>
        </w:sectPr>
      </w:pPr>
      <w:r>
        <w:rPr>
          <w:rFonts w:ascii="Times New Roman" w:hAnsi="Times New Roman" w:cs="Times New Roman"/>
          <w:sz w:val="24"/>
          <w:szCs w:val="24"/>
        </w:rPr>
        <w:t xml:space="preserve"> </w:t>
      </w:r>
    </w:p>
    <w:p w14:paraId="3C9F0A51" w14:textId="4B93B47B" w:rsidR="008D3E66" w:rsidRDefault="004E6AC1" w:rsidP="00292A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w:t>
      </w:r>
      <w:r w:rsidR="00035518">
        <w:rPr>
          <w:rFonts w:ascii="Times New Roman" w:hAnsi="Times New Roman" w:cs="Times New Roman"/>
          <w:sz w:val="24"/>
          <w:szCs w:val="24"/>
        </w:rPr>
        <w:t>)</w:t>
      </w:r>
      <w:r w:rsidR="00292A44">
        <w:rPr>
          <w:rFonts w:ascii="Times New Roman" w:hAnsi="Times New Roman" w:cs="Times New Roman"/>
          <w:sz w:val="24"/>
          <w:szCs w:val="24"/>
        </w:rPr>
        <w:t xml:space="preserve"> </w:t>
      </w:r>
      <w:r w:rsidR="003E4646">
        <w:rPr>
          <w:rFonts w:ascii="Times New Roman" w:hAnsi="Times New Roman" w:cs="Times New Roman"/>
          <w:sz w:val="24"/>
          <w:szCs w:val="24"/>
        </w:rPr>
        <w:t>izteikt</w:t>
      </w:r>
      <w:r w:rsidR="00AF04D5">
        <w:rPr>
          <w:rFonts w:ascii="Times New Roman" w:hAnsi="Times New Roman" w:cs="Times New Roman"/>
          <w:sz w:val="24"/>
          <w:szCs w:val="24"/>
        </w:rPr>
        <w:t xml:space="preserve"> </w:t>
      </w:r>
      <w:r w:rsidR="005E2BDC">
        <w:rPr>
          <w:rFonts w:ascii="Times New Roman" w:hAnsi="Times New Roman" w:cs="Times New Roman"/>
          <w:sz w:val="24"/>
          <w:szCs w:val="24"/>
        </w:rPr>
        <w:t>4</w:t>
      </w:r>
      <w:r w:rsidR="005E2BDC" w:rsidRPr="005E2BDC">
        <w:rPr>
          <w:rFonts w:ascii="Times New Roman" w:hAnsi="Times New Roman" w:cs="Times New Roman"/>
          <w:sz w:val="24"/>
          <w:szCs w:val="24"/>
        </w:rPr>
        <w:t>.pielikum</w:t>
      </w:r>
      <w:r w:rsidR="008B2625">
        <w:rPr>
          <w:rFonts w:ascii="Times New Roman" w:hAnsi="Times New Roman" w:cs="Times New Roman"/>
          <w:sz w:val="24"/>
          <w:szCs w:val="24"/>
        </w:rPr>
        <w:t>ā</w:t>
      </w:r>
      <w:r w:rsidR="005E2BDC" w:rsidRPr="005E2BDC">
        <w:rPr>
          <w:rFonts w:ascii="Times New Roman" w:hAnsi="Times New Roman" w:cs="Times New Roman"/>
          <w:sz w:val="24"/>
          <w:szCs w:val="24"/>
        </w:rPr>
        <w:t xml:space="preserve"> “Proje</w:t>
      </w:r>
      <w:r w:rsidR="005E2BDC">
        <w:rPr>
          <w:rFonts w:ascii="Times New Roman" w:hAnsi="Times New Roman" w:cs="Times New Roman"/>
          <w:sz w:val="24"/>
          <w:szCs w:val="24"/>
        </w:rPr>
        <w:t>ktu iesniegumu vērtēšanas kritēriju piemērošanas metodika</w:t>
      </w:r>
      <w:r w:rsidR="005E2BDC" w:rsidRPr="005E2BDC">
        <w:rPr>
          <w:rFonts w:ascii="Times New Roman" w:hAnsi="Times New Roman" w:cs="Times New Roman"/>
          <w:sz w:val="24"/>
          <w:szCs w:val="24"/>
        </w:rPr>
        <w:t>”</w:t>
      </w:r>
      <w:r w:rsidR="008D3E66">
        <w:rPr>
          <w:rFonts w:ascii="Times New Roman" w:hAnsi="Times New Roman" w:cs="Times New Roman"/>
          <w:sz w:val="24"/>
          <w:szCs w:val="24"/>
        </w:rPr>
        <w:t>:</w:t>
      </w:r>
    </w:p>
    <w:p w14:paraId="33C19F6A" w14:textId="77777777" w:rsidR="003D2ADA" w:rsidRDefault="008D3E66" w:rsidP="008D3E66">
      <w:pPr>
        <w:spacing w:after="0" w:line="240" w:lineRule="auto"/>
        <w:ind w:firstLine="720"/>
        <w:jc w:val="both"/>
        <w:rPr>
          <w:rFonts w:ascii="Times New Roman" w:eastAsia="Calibri" w:hAnsi="Times New Roman"/>
          <w:sz w:val="24"/>
        </w:rPr>
      </w:pPr>
      <w:r>
        <w:rPr>
          <w:rFonts w:ascii="Times New Roman" w:hAnsi="Times New Roman" w:cs="Times New Roman"/>
          <w:sz w:val="24"/>
          <w:szCs w:val="24"/>
        </w:rPr>
        <w:t>a)</w:t>
      </w:r>
      <w:r w:rsidR="005E2BDC" w:rsidRPr="005E2BDC">
        <w:rPr>
          <w:rFonts w:ascii="Times New Roman" w:hAnsi="Times New Roman" w:cs="Times New Roman"/>
          <w:sz w:val="24"/>
          <w:szCs w:val="24"/>
        </w:rPr>
        <w:t xml:space="preserve"> </w:t>
      </w:r>
      <w:r w:rsidR="008B2625">
        <w:rPr>
          <w:rFonts w:ascii="Times New Roman" w:hAnsi="Times New Roman" w:cs="Times New Roman"/>
          <w:sz w:val="24"/>
          <w:szCs w:val="24"/>
        </w:rPr>
        <w:t>1.</w:t>
      </w:r>
      <w:r>
        <w:rPr>
          <w:rFonts w:ascii="Times New Roman" w:hAnsi="Times New Roman" w:cs="Times New Roman"/>
          <w:sz w:val="24"/>
          <w:szCs w:val="24"/>
        </w:rPr>
        <w:t>9</w:t>
      </w:r>
      <w:r w:rsidR="008B2625">
        <w:rPr>
          <w:rFonts w:ascii="Times New Roman" w:hAnsi="Times New Roman" w:cs="Times New Roman"/>
          <w:sz w:val="24"/>
          <w:szCs w:val="24"/>
        </w:rPr>
        <w:t xml:space="preserve">.kritēriju </w:t>
      </w:r>
      <w:r w:rsidR="005E2BDC" w:rsidRPr="005E2BDC">
        <w:rPr>
          <w:rFonts w:ascii="Times New Roman" w:hAnsi="Times New Roman" w:cs="Times New Roman"/>
          <w:sz w:val="24"/>
          <w:szCs w:val="24"/>
        </w:rPr>
        <w:t>šādā redakcijā:</w:t>
      </w:r>
      <w:r>
        <w:rPr>
          <w:rFonts w:ascii="Times New Roman" w:hAnsi="Times New Roman" w:cs="Times New Roman"/>
          <w:sz w:val="24"/>
          <w:szCs w:val="24"/>
        </w:rPr>
        <w:t xml:space="preserve">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283"/>
        <w:gridCol w:w="7782"/>
      </w:tblGrid>
      <w:tr w:rsidR="003D2ADA" w:rsidRPr="00B06ABF" w14:paraId="6AAADD19" w14:textId="77777777" w:rsidTr="00023716">
        <w:trPr>
          <w:trHeight w:val="103"/>
          <w:jc w:val="center"/>
        </w:trPr>
        <w:tc>
          <w:tcPr>
            <w:tcW w:w="704" w:type="dxa"/>
          </w:tcPr>
          <w:p w14:paraId="260D6606" w14:textId="77777777" w:rsidR="003D2ADA" w:rsidRDefault="003D2ADA" w:rsidP="00023716">
            <w:pPr>
              <w:spacing w:after="0" w:line="240" w:lineRule="auto"/>
              <w:jc w:val="both"/>
              <w:rPr>
                <w:rFonts w:ascii="Times New Roman" w:hAnsi="Times New Roman"/>
                <w:sz w:val="24"/>
              </w:rPr>
            </w:pPr>
            <w:r>
              <w:rPr>
                <w:rFonts w:ascii="Times New Roman" w:hAnsi="Times New Roman"/>
                <w:sz w:val="24"/>
              </w:rPr>
              <w:t>1.9.</w:t>
            </w:r>
          </w:p>
        </w:tc>
        <w:tc>
          <w:tcPr>
            <w:tcW w:w="3260" w:type="dxa"/>
          </w:tcPr>
          <w:p w14:paraId="6B0FB6B7" w14:textId="77777777" w:rsidR="003D2ADA" w:rsidRPr="00E27A45" w:rsidRDefault="003D2ADA" w:rsidP="00023716">
            <w:pPr>
              <w:spacing w:after="0" w:line="240" w:lineRule="auto"/>
              <w:jc w:val="both"/>
              <w:rPr>
                <w:rFonts w:ascii="Times New Roman" w:hAnsi="Times New Roman"/>
                <w:sz w:val="24"/>
              </w:rPr>
            </w:pPr>
            <w:r w:rsidRPr="00DE52C7">
              <w:rPr>
                <w:rFonts w:ascii="Times New Roman" w:hAnsi="Times New Roman"/>
                <w:sz w:val="24"/>
              </w:rPr>
              <w:t>Projekta iesniegumā paredzētais ES fonda finansējuma apmērs atbilst MK noteikumos par specifiskā atbalsta mērķa</w:t>
            </w:r>
            <w:r>
              <w:rPr>
                <w:rFonts w:ascii="Times New Roman" w:hAnsi="Times New Roman"/>
                <w:sz w:val="24"/>
              </w:rPr>
              <w:t xml:space="preserve"> pasākuma</w:t>
            </w:r>
            <w:r w:rsidRPr="00DE52C7">
              <w:rPr>
                <w:rFonts w:ascii="Times New Roman" w:hAnsi="Times New Roman"/>
                <w:sz w:val="24"/>
              </w:rPr>
              <w:t xml:space="preserve"> īstenošanu projektam noteiktajam ES fonda finansējuma apmēram.</w:t>
            </w:r>
          </w:p>
        </w:tc>
        <w:tc>
          <w:tcPr>
            <w:tcW w:w="2283" w:type="dxa"/>
            <w:vAlign w:val="center"/>
          </w:tcPr>
          <w:p w14:paraId="54E16FB5" w14:textId="77777777" w:rsidR="003D2ADA" w:rsidRDefault="003D2ADA" w:rsidP="00023716">
            <w:pPr>
              <w:pStyle w:val="ListParagraph"/>
              <w:ind w:left="0"/>
              <w:jc w:val="center"/>
            </w:pPr>
            <w:r>
              <w:t>P</w:t>
            </w:r>
          </w:p>
        </w:tc>
        <w:tc>
          <w:tcPr>
            <w:tcW w:w="7782" w:type="dxa"/>
          </w:tcPr>
          <w:p w14:paraId="67875BE0" w14:textId="77777777" w:rsidR="003D2ADA" w:rsidRPr="002139B8" w:rsidRDefault="003D2ADA" w:rsidP="00023716">
            <w:pPr>
              <w:pStyle w:val="NoSpacing"/>
              <w:jc w:val="both"/>
              <w:rPr>
                <w:rFonts w:ascii="Times New Roman" w:hAnsi="Times New Roman"/>
                <w:color w:val="auto"/>
                <w:sz w:val="24"/>
              </w:rPr>
            </w:pPr>
            <w:r w:rsidRPr="00BE22EF">
              <w:rPr>
                <w:rFonts w:ascii="Times New Roman" w:hAnsi="Times New Roman"/>
                <w:b/>
                <w:color w:val="auto"/>
                <w:sz w:val="24"/>
              </w:rPr>
              <w:t>Vērtējums ir „Jā”</w:t>
            </w:r>
            <w:r w:rsidRPr="00BE22EF">
              <w:rPr>
                <w:rFonts w:ascii="Times New Roman" w:hAnsi="Times New Roman"/>
                <w:color w:val="auto"/>
                <w:sz w:val="24"/>
              </w:rPr>
              <w:t xml:space="preserve">, ja projekta iesnieguma (2.pielikumā un 3.pielikumā) </w:t>
            </w:r>
            <w:r w:rsidRPr="002139B8">
              <w:rPr>
                <w:rFonts w:ascii="Times New Roman" w:hAnsi="Times New Roman"/>
                <w:color w:val="auto"/>
                <w:sz w:val="24"/>
              </w:rPr>
              <w:t>norādītais Kohēzijas fonda finansējuma apmērs nepārsniedz:</w:t>
            </w:r>
          </w:p>
          <w:p w14:paraId="4EDC9A82" w14:textId="77777777" w:rsidR="003D2ADA" w:rsidRPr="002139B8" w:rsidRDefault="003D2ADA" w:rsidP="00023716">
            <w:pPr>
              <w:pStyle w:val="NoSpacing"/>
              <w:jc w:val="both"/>
              <w:rPr>
                <w:rFonts w:ascii="Times New Roman" w:hAnsi="Times New Roman"/>
                <w:color w:val="auto"/>
                <w:sz w:val="24"/>
              </w:rPr>
            </w:pPr>
            <w:r w:rsidRPr="002139B8">
              <w:rPr>
                <w:rFonts w:ascii="Times New Roman" w:hAnsi="Times New Roman"/>
                <w:color w:val="auto"/>
                <w:sz w:val="24"/>
              </w:rPr>
              <w:t xml:space="preserve">1. MK noteikumos noteikto maksimālo pieejamo attiecināmo Kohēzijas fonda finansējuma apmēru projektam. </w:t>
            </w:r>
          </w:p>
          <w:p w14:paraId="002049EB" w14:textId="77777777" w:rsidR="003D2ADA" w:rsidRPr="002139B8" w:rsidRDefault="003D2ADA" w:rsidP="00023716">
            <w:pPr>
              <w:pStyle w:val="NoSpacing"/>
              <w:jc w:val="both"/>
              <w:rPr>
                <w:rFonts w:ascii="Times New Roman" w:hAnsi="Times New Roman"/>
                <w:color w:val="auto"/>
                <w:sz w:val="24"/>
              </w:rPr>
            </w:pPr>
            <w:r w:rsidRPr="002139B8">
              <w:rPr>
                <w:rFonts w:ascii="Times New Roman" w:hAnsi="Times New Roman"/>
                <w:color w:val="auto"/>
                <w:sz w:val="24"/>
              </w:rPr>
              <w:t xml:space="preserve">2. MK noteikumos līdz 2018.gada 31.decembrim pieejamo Kohēzijas fonda finansējumu – 42 138 070 </w:t>
            </w:r>
            <w:r w:rsidRPr="002139B8">
              <w:rPr>
                <w:rFonts w:ascii="Times New Roman" w:hAnsi="Times New Roman"/>
                <w:i/>
                <w:color w:val="auto"/>
                <w:sz w:val="24"/>
              </w:rPr>
              <w:t>euro</w:t>
            </w:r>
            <w:r w:rsidRPr="002139B8">
              <w:rPr>
                <w:rFonts w:ascii="Times New Roman" w:hAnsi="Times New Roman"/>
                <w:color w:val="auto"/>
                <w:sz w:val="24"/>
              </w:rPr>
              <w:t>.</w:t>
            </w:r>
          </w:p>
          <w:p w14:paraId="71C063EE" w14:textId="77777777" w:rsidR="003D2ADA" w:rsidRPr="002139B8" w:rsidRDefault="003D2ADA" w:rsidP="00023716">
            <w:pPr>
              <w:pStyle w:val="NoSpacing"/>
              <w:jc w:val="both"/>
              <w:rPr>
                <w:rFonts w:ascii="Times New Roman" w:hAnsi="Times New Roman"/>
                <w:color w:val="auto"/>
                <w:sz w:val="24"/>
              </w:rPr>
            </w:pPr>
          </w:p>
          <w:p w14:paraId="7CC69E11" w14:textId="77777777" w:rsidR="003D2ADA" w:rsidRPr="00B0345C" w:rsidRDefault="003D2ADA" w:rsidP="00023716">
            <w:pPr>
              <w:pStyle w:val="NoSpacing"/>
              <w:jc w:val="both"/>
              <w:rPr>
                <w:rFonts w:ascii="Times New Roman" w:hAnsi="Times New Roman"/>
                <w:color w:val="auto"/>
                <w:sz w:val="24"/>
              </w:rPr>
            </w:pPr>
            <w:r w:rsidRPr="002139B8">
              <w:rPr>
                <w:rFonts w:ascii="Times New Roman" w:hAnsi="Times New Roman"/>
                <w:color w:val="auto"/>
                <w:sz w:val="24"/>
              </w:rPr>
              <w:t xml:space="preserve">Ja projekta iesniegums neatbilst minētajām prasībām un pārsniedz MK noteikumos projektam pieejamo Kohēzijas fonda finansējuma apmēru – 42 138 070 </w:t>
            </w:r>
            <w:r w:rsidRPr="002139B8">
              <w:rPr>
                <w:rFonts w:ascii="Times New Roman" w:hAnsi="Times New Roman"/>
                <w:i/>
                <w:color w:val="auto"/>
                <w:sz w:val="24"/>
              </w:rPr>
              <w:t>euro</w:t>
            </w:r>
            <w:r w:rsidRPr="00BE22EF">
              <w:rPr>
                <w:rFonts w:ascii="Times New Roman" w:hAnsi="Times New Roman"/>
                <w:color w:val="auto"/>
                <w:sz w:val="24"/>
              </w:rPr>
              <w:t>,</w:t>
            </w:r>
            <w:r w:rsidRPr="00BE22EF">
              <w:rPr>
                <w:rFonts w:ascii="Times New Roman" w:hAnsi="Times New Roman"/>
                <w:b/>
                <w:color w:val="auto"/>
                <w:sz w:val="24"/>
              </w:rPr>
              <w:t xml:space="preserve"> vērtējums ir „Jā, ar nosacījumu”</w:t>
            </w:r>
            <w:r w:rsidRPr="00BE22EF">
              <w:rPr>
                <w:rFonts w:ascii="Times New Roman" w:hAnsi="Times New Roman"/>
                <w:color w:val="auto"/>
                <w:sz w:val="24"/>
              </w:rPr>
              <w:t>, izvirza nosacījumu veikt atbilstošu precizējumu.</w:t>
            </w:r>
          </w:p>
        </w:tc>
      </w:tr>
    </w:tbl>
    <w:p w14:paraId="5B847769" w14:textId="0E3F76EA" w:rsidR="005E2BDC" w:rsidRDefault="00B7305C" w:rsidP="008D3E66">
      <w:pPr>
        <w:spacing w:after="0" w:line="240" w:lineRule="auto"/>
        <w:ind w:firstLine="720"/>
        <w:jc w:val="both"/>
        <w:rPr>
          <w:rFonts w:ascii="Times New Roman" w:eastAsia="Calibri" w:hAnsi="Times New Roman"/>
          <w:sz w:val="24"/>
        </w:rPr>
      </w:pPr>
      <w:r>
        <w:rPr>
          <w:rFonts w:ascii="Times New Roman" w:eastAsia="Calibri" w:hAnsi="Times New Roman"/>
          <w:sz w:val="24"/>
        </w:rPr>
        <w:t>”</w:t>
      </w:r>
      <w:r w:rsidR="008D3E66">
        <w:rPr>
          <w:rFonts w:ascii="Times New Roman" w:eastAsia="Calibri" w:hAnsi="Times New Roman"/>
          <w:sz w:val="24"/>
        </w:rPr>
        <w:t>;</w:t>
      </w:r>
    </w:p>
    <w:p w14:paraId="3371FF08" w14:textId="77777777" w:rsidR="008D3E66" w:rsidRDefault="008D3E66" w:rsidP="008D3E66">
      <w:pPr>
        <w:spacing w:after="0" w:line="240" w:lineRule="auto"/>
        <w:ind w:firstLine="720"/>
        <w:jc w:val="both"/>
        <w:rPr>
          <w:rFonts w:ascii="Times New Roman" w:hAnsi="Times New Roman" w:cs="Times New Roman"/>
          <w:sz w:val="24"/>
          <w:szCs w:val="24"/>
        </w:rPr>
      </w:pPr>
    </w:p>
    <w:p w14:paraId="49C0B9C7" w14:textId="77777777" w:rsidR="00B97138" w:rsidRDefault="008D3E66" w:rsidP="008D3E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 1.14.kritēriju šādā redakcijā: “</w:t>
      </w: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260"/>
        <w:gridCol w:w="2283"/>
        <w:gridCol w:w="7782"/>
      </w:tblGrid>
      <w:tr w:rsidR="00B97138" w:rsidRPr="00B06ABF" w14:paraId="676F04A2" w14:textId="77777777" w:rsidTr="00023716">
        <w:trPr>
          <w:trHeight w:val="103"/>
          <w:jc w:val="center"/>
        </w:trPr>
        <w:tc>
          <w:tcPr>
            <w:tcW w:w="704" w:type="dxa"/>
          </w:tcPr>
          <w:p w14:paraId="01A3DCCA" w14:textId="77777777" w:rsidR="00B97138" w:rsidRDefault="00B97138" w:rsidP="00023716">
            <w:pPr>
              <w:spacing w:after="0" w:line="240" w:lineRule="auto"/>
              <w:jc w:val="both"/>
              <w:rPr>
                <w:rFonts w:ascii="Times New Roman" w:hAnsi="Times New Roman"/>
                <w:sz w:val="24"/>
              </w:rPr>
            </w:pPr>
            <w:r>
              <w:rPr>
                <w:rFonts w:ascii="Times New Roman" w:hAnsi="Times New Roman"/>
                <w:sz w:val="24"/>
              </w:rPr>
              <w:t>1.14.</w:t>
            </w:r>
          </w:p>
        </w:tc>
        <w:tc>
          <w:tcPr>
            <w:tcW w:w="3260" w:type="dxa"/>
          </w:tcPr>
          <w:p w14:paraId="0659EE87" w14:textId="77777777" w:rsidR="00B97138" w:rsidRPr="003C21FD" w:rsidRDefault="00B97138" w:rsidP="00023716">
            <w:pPr>
              <w:spacing w:after="0" w:line="240" w:lineRule="auto"/>
              <w:jc w:val="both"/>
              <w:rPr>
                <w:rFonts w:ascii="Times New Roman" w:hAnsi="Times New Roman"/>
                <w:sz w:val="24"/>
              </w:rPr>
            </w:pPr>
            <w:r w:rsidRPr="007C1EAE">
              <w:rPr>
                <w:rFonts w:ascii="Times New Roman" w:eastAsia="Times New Roman" w:hAnsi="Times New Roman"/>
                <w:sz w:val="24"/>
              </w:rPr>
              <w:t>Projekta iesniegumā plānotie sagaidāmie rezultāti un uzraudzības rādītāji ir precīzi definēti, pamatoti un izmērāmi un tie sekmē MK noteikumos par specifiskā atbalsta mērķa</w:t>
            </w:r>
            <w:r>
              <w:rPr>
                <w:rFonts w:ascii="Times New Roman" w:eastAsia="Times New Roman" w:hAnsi="Times New Roman"/>
                <w:sz w:val="24"/>
              </w:rPr>
              <w:t xml:space="preserve"> pasākuma</w:t>
            </w:r>
            <w:r w:rsidRPr="007C1EAE">
              <w:rPr>
                <w:rFonts w:ascii="Times New Roman" w:eastAsia="Times New Roman" w:hAnsi="Times New Roman"/>
                <w:sz w:val="24"/>
              </w:rPr>
              <w:t xml:space="preserve"> īstenošanu noteikto rādītāju sasniegšanu.</w:t>
            </w:r>
          </w:p>
        </w:tc>
        <w:tc>
          <w:tcPr>
            <w:tcW w:w="2283" w:type="dxa"/>
            <w:vAlign w:val="center"/>
          </w:tcPr>
          <w:p w14:paraId="43206CE9" w14:textId="77777777" w:rsidR="00B97138" w:rsidRPr="004E6AC1" w:rsidRDefault="00B97138" w:rsidP="00023716">
            <w:pPr>
              <w:pStyle w:val="ListParagraph"/>
              <w:ind w:left="0"/>
              <w:jc w:val="center"/>
              <w:rPr>
                <w:rFonts w:ascii="Times New Roman" w:hAnsi="Times New Roman" w:cs="Times New Roman"/>
                <w:sz w:val="24"/>
                <w:szCs w:val="24"/>
              </w:rPr>
            </w:pPr>
            <w:r w:rsidRPr="004E6AC1">
              <w:rPr>
                <w:rFonts w:ascii="Times New Roman" w:hAnsi="Times New Roman" w:cs="Times New Roman"/>
                <w:sz w:val="24"/>
                <w:szCs w:val="24"/>
              </w:rPr>
              <w:t>P</w:t>
            </w:r>
          </w:p>
        </w:tc>
        <w:tc>
          <w:tcPr>
            <w:tcW w:w="7782" w:type="dxa"/>
          </w:tcPr>
          <w:p w14:paraId="4DFF1100" w14:textId="77777777" w:rsidR="00B97138" w:rsidRPr="00BE22EF" w:rsidRDefault="00B97138" w:rsidP="00023716">
            <w:pPr>
              <w:pStyle w:val="NoSpacing"/>
              <w:jc w:val="both"/>
              <w:rPr>
                <w:rFonts w:ascii="Times New Roman" w:hAnsi="Times New Roman"/>
                <w:color w:val="auto"/>
                <w:sz w:val="24"/>
              </w:rPr>
            </w:pPr>
            <w:r w:rsidRPr="00BE22EF">
              <w:rPr>
                <w:rFonts w:ascii="Times New Roman" w:hAnsi="Times New Roman"/>
                <w:b/>
                <w:color w:val="auto"/>
                <w:sz w:val="24"/>
              </w:rPr>
              <w:t>Vērtējums ir „Jā”</w:t>
            </w:r>
            <w:r w:rsidRPr="00BE22EF">
              <w:rPr>
                <w:rFonts w:ascii="Times New Roman" w:hAnsi="Times New Roman"/>
                <w:color w:val="auto"/>
                <w:sz w:val="24"/>
              </w:rPr>
              <w:t>, ja:</w:t>
            </w:r>
          </w:p>
          <w:p w14:paraId="4D3C0C3C" w14:textId="77777777" w:rsidR="00B97138" w:rsidRPr="002F3375" w:rsidRDefault="00B97138" w:rsidP="00B97138">
            <w:pPr>
              <w:pStyle w:val="NoSpacing"/>
              <w:numPr>
                <w:ilvl w:val="0"/>
                <w:numId w:val="15"/>
              </w:numPr>
              <w:jc w:val="both"/>
              <w:rPr>
                <w:rFonts w:ascii="Times New Roman" w:hAnsi="Times New Roman"/>
                <w:color w:val="auto"/>
                <w:sz w:val="24"/>
              </w:rPr>
            </w:pPr>
            <w:r w:rsidRPr="002F3375">
              <w:rPr>
                <w:rFonts w:ascii="Times New Roman" w:hAnsi="Times New Roman"/>
                <w:color w:val="auto"/>
                <w:sz w:val="24"/>
              </w:rPr>
              <w:t>projekta iesnieguma 1.5.</w:t>
            </w:r>
            <w:r>
              <w:rPr>
                <w:rFonts w:ascii="Times New Roman" w:hAnsi="Times New Roman"/>
                <w:color w:val="auto"/>
                <w:sz w:val="24"/>
              </w:rPr>
              <w:t>punkt</w:t>
            </w:r>
            <w:r w:rsidRPr="002F3375">
              <w:rPr>
                <w:rFonts w:ascii="Times New Roman" w:hAnsi="Times New Roman"/>
                <w:color w:val="auto"/>
                <w:sz w:val="24"/>
              </w:rPr>
              <w:t>ā katrai projekta darbībai ir norādīts pamatots (skaidri izriet no attiecīgās projekta darbības), precīzi definēts un izmērāms rezultāts, kas katras projekta darbības rezultātā tiks sasniegts;</w:t>
            </w:r>
          </w:p>
          <w:p w14:paraId="13AE2E78" w14:textId="77777777" w:rsidR="00B97138" w:rsidRDefault="00B97138" w:rsidP="00B97138">
            <w:pPr>
              <w:pStyle w:val="NoSpacing"/>
              <w:numPr>
                <w:ilvl w:val="0"/>
                <w:numId w:val="15"/>
              </w:numPr>
              <w:jc w:val="both"/>
              <w:rPr>
                <w:rFonts w:ascii="Times New Roman" w:hAnsi="Times New Roman"/>
                <w:color w:val="auto"/>
                <w:sz w:val="24"/>
              </w:rPr>
            </w:pPr>
            <w:r w:rsidRPr="002F3375">
              <w:rPr>
                <w:rFonts w:ascii="Times New Roman" w:hAnsi="Times New Roman"/>
                <w:color w:val="auto"/>
                <w:sz w:val="24"/>
              </w:rPr>
              <w:t>projekta iesnieguma 1.6.</w:t>
            </w:r>
            <w:r>
              <w:rPr>
                <w:rFonts w:ascii="Times New Roman" w:hAnsi="Times New Roman"/>
                <w:color w:val="auto"/>
                <w:sz w:val="24"/>
              </w:rPr>
              <w:t>punktā</w:t>
            </w:r>
            <w:r w:rsidRPr="002F3375">
              <w:rPr>
                <w:rFonts w:ascii="Times New Roman" w:hAnsi="Times New Roman"/>
                <w:color w:val="auto"/>
                <w:sz w:val="24"/>
              </w:rPr>
              <w:t xml:space="preserve"> ir norādīti pamatoti (skaidri izriet no projekta darbībām), precīzi definēti un izmērāmi projekta uzraudzības rādītāji. Tiem ir noteikta sasniedzamā mērvienība un skaitliskā vērtība, kas sekmē MK noteikumu </w:t>
            </w:r>
            <w:r>
              <w:rPr>
                <w:rFonts w:ascii="Times New Roman" w:hAnsi="Times New Roman"/>
                <w:color w:val="auto"/>
                <w:sz w:val="24"/>
              </w:rPr>
              <w:t>6</w:t>
            </w:r>
            <w:r w:rsidRPr="002F3375">
              <w:rPr>
                <w:rFonts w:ascii="Times New Roman" w:hAnsi="Times New Roman"/>
                <w:color w:val="auto"/>
                <w:sz w:val="24"/>
              </w:rPr>
              <w:t>.1.</w:t>
            </w:r>
            <w:r>
              <w:rPr>
                <w:rFonts w:ascii="Times New Roman" w:hAnsi="Times New Roman"/>
                <w:color w:val="auto"/>
                <w:sz w:val="24"/>
              </w:rPr>
              <w:t xml:space="preserve">, 6.2. </w:t>
            </w:r>
            <w:r w:rsidRPr="002F3375">
              <w:rPr>
                <w:rFonts w:ascii="Times New Roman" w:hAnsi="Times New Roman"/>
                <w:color w:val="auto"/>
                <w:sz w:val="24"/>
              </w:rPr>
              <w:t xml:space="preserve"> un </w:t>
            </w:r>
            <w:r>
              <w:rPr>
                <w:rFonts w:ascii="Times New Roman" w:hAnsi="Times New Roman"/>
                <w:color w:val="auto"/>
                <w:sz w:val="24"/>
              </w:rPr>
              <w:t>6</w:t>
            </w:r>
            <w:r w:rsidRPr="002F3375">
              <w:rPr>
                <w:rFonts w:ascii="Times New Roman" w:hAnsi="Times New Roman"/>
                <w:color w:val="auto"/>
                <w:sz w:val="24"/>
              </w:rPr>
              <w:t>.</w:t>
            </w:r>
            <w:r>
              <w:rPr>
                <w:rFonts w:ascii="Times New Roman" w:hAnsi="Times New Roman"/>
                <w:color w:val="auto"/>
                <w:sz w:val="24"/>
              </w:rPr>
              <w:t>3</w:t>
            </w:r>
            <w:r w:rsidRPr="002F3375">
              <w:rPr>
                <w:rFonts w:ascii="Times New Roman" w:hAnsi="Times New Roman"/>
                <w:color w:val="auto"/>
                <w:sz w:val="24"/>
              </w:rPr>
              <w:t xml:space="preserve">. </w:t>
            </w:r>
            <w:r>
              <w:rPr>
                <w:rFonts w:ascii="Times New Roman" w:hAnsi="Times New Roman"/>
                <w:color w:val="auto"/>
                <w:sz w:val="24"/>
              </w:rPr>
              <w:t>punkt</w:t>
            </w:r>
            <w:r w:rsidRPr="002F3375">
              <w:rPr>
                <w:rFonts w:ascii="Times New Roman" w:hAnsi="Times New Roman"/>
                <w:color w:val="auto"/>
                <w:sz w:val="24"/>
              </w:rPr>
              <w:t>ā noteikto rādītāju sasniegšanu.</w:t>
            </w:r>
          </w:p>
          <w:p w14:paraId="1C396ED0" w14:textId="77777777" w:rsidR="00B97138" w:rsidRPr="002139B8" w:rsidRDefault="00B97138" w:rsidP="00B97138">
            <w:pPr>
              <w:pStyle w:val="NoSpacing"/>
              <w:numPr>
                <w:ilvl w:val="0"/>
                <w:numId w:val="15"/>
              </w:numPr>
              <w:jc w:val="both"/>
              <w:rPr>
                <w:rFonts w:ascii="Times New Roman" w:hAnsi="Times New Roman"/>
                <w:color w:val="auto"/>
                <w:sz w:val="24"/>
              </w:rPr>
            </w:pPr>
            <w:r w:rsidRPr="00866DED">
              <w:rPr>
                <w:rFonts w:ascii="Times New Roman" w:hAnsi="Times New Roman"/>
                <w:color w:val="auto"/>
                <w:sz w:val="24"/>
              </w:rPr>
              <w:t xml:space="preserve">projekta iesnieguma 2.pielikumā finansējuma sadalījums pa gadiem </w:t>
            </w:r>
            <w:r w:rsidRPr="002139B8">
              <w:rPr>
                <w:rFonts w:ascii="Times New Roman" w:hAnsi="Times New Roman"/>
                <w:color w:val="auto"/>
                <w:sz w:val="24"/>
              </w:rPr>
              <w:t>nodrošina tādu finanšu plūsmu, ka līdz 2017.gada 31.decembrim projektā kopumā tiek plānoti attiecināmie izdevumi šādā noteiktā  finanšu rādītāja vērtības apmērā:</w:t>
            </w:r>
          </w:p>
          <w:p w14:paraId="625CE466"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t xml:space="preserve">1. Daugavpils – 1 135 920,45 </w:t>
            </w:r>
            <w:r w:rsidRPr="002139B8">
              <w:rPr>
                <w:rFonts w:ascii="Times New Roman" w:hAnsi="Times New Roman"/>
                <w:i/>
                <w:color w:val="auto"/>
                <w:sz w:val="24"/>
              </w:rPr>
              <w:t>euro</w:t>
            </w:r>
            <w:r w:rsidRPr="002139B8">
              <w:rPr>
                <w:rFonts w:ascii="Times New Roman" w:hAnsi="Times New Roman"/>
                <w:color w:val="auto"/>
                <w:sz w:val="24"/>
              </w:rPr>
              <w:t>;</w:t>
            </w:r>
          </w:p>
          <w:p w14:paraId="20B2F7CC"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t xml:space="preserve">2. Jelgava – 2 256 999,72 </w:t>
            </w:r>
            <w:r w:rsidRPr="002139B8">
              <w:rPr>
                <w:rFonts w:ascii="Times New Roman" w:hAnsi="Times New Roman"/>
                <w:i/>
                <w:color w:val="auto"/>
                <w:sz w:val="24"/>
              </w:rPr>
              <w:t>euro</w:t>
            </w:r>
            <w:r w:rsidRPr="002139B8">
              <w:rPr>
                <w:rFonts w:ascii="Times New Roman" w:hAnsi="Times New Roman"/>
                <w:color w:val="auto"/>
                <w:sz w:val="24"/>
              </w:rPr>
              <w:t>;</w:t>
            </w:r>
          </w:p>
          <w:p w14:paraId="0CD8FF51"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t xml:space="preserve">3.  Jūrmala – 0 </w:t>
            </w:r>
            <w:r w:rsidRPr="002139B8">
              <w:rPr>
                <w:rFonts w:ascii="Times New Roman" w:hAnsi="Times New Roman"/>
                <w:i/>
                <w:color w:val="auto"/>
                <w:sz w:val="24"/>
              </w:rPr>
              <w:t>euro</w:t>
            </w:r>
            <w:r w:rsidRPr="002139B8">
              <w:rPr>
                <w:rFonts w:ascii="Times New Roman" w:hAnsi="Times New Roman"/>
                <w:color w:val="auto"/>
                <w:sz w:val="24"/>
              </w:rPr>
              <w:t>;</w:t>
            </w:r>
          </w:p>
          <w:p w14:paraId="7BC76E5C"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t xml:space="preserve">4.  Jēkabpils – 858 224,06 </w:t>
            </w:r>
            <w:r w:rsidRPr="002139B8">
              <w:rPr>
                <w:rFonts w:ascii="Times New Roman" w:hAnsi="Times New Roman"/>
                <w:i/>
                <w:color w:val="auto"/>
                <w:sz w:val="24"/>
              </w:rPr>
              <w:t>euro</w:t>
            </w:r>
            <w:r w:rsidRPr="002139B8">
              <w:rPr>
                <w:rFonts w:ascii="Times New Roman" w:hAnsi="Times New Roman"/>
                <w:color w:val="auto"/>
                <w:sz w:val="24"/>
              </w:rPr>
              <w:t>;</w:t>
            </w:r>
          </w:p>
          <w:p w14:paraId="2CE1B882" w14:textId="77777777" w:rsidR="00B97138" w:rsidRPr="002139B8" w:rsidRDefault="00B97138" w:rsidP="00B97138">
            <w:pPr>
              <w:pStyle w:val="NoSpacing"/>
              <w:numPr>
                <w:ilvl w:val="0"/>
                <w:numId w:val="15"/>
              </w:numPr>
              <w:jc w:val="both"/>
              <w:rPr>
                <w:rFonts w:ascii="Times New Roman" w:hAnsi="Times New Roman"/>
                <w:color w:val="auto"/>
                <w:sz w:val="24"/>
              </w:rPr>
            </w:pPr>
            <w:r w:rsidRPr="002139B8">
              <w:rPr>
                <w:rFonts w:ascii="Times New Roman" w:hAnsi="Times New Roman"/>
                <w:color w:val="auto"/>
                <w:sz w:val="24"/>
              </w:rPr>
              <w:t xml:space="preserve">5. Liepāja – 681 264,86 </w:t>
            </w:r>
            <w:r w:rsidRPr="002139B8">
              <w:rPr>
                <w:rFonts w:ascii="Times New Roman" w:hAnsi="Times New Roman"/>
                <w:i/>
                <w:color w:val="auto"/>
                <w:sz w:val="24"/>
              </w:rPr>
              <w:t>eur</w:t>
            </w:r>
            <w:r w:rsidRPr="002139B8">
              <w:rPr>
                <w:rFonts w:ascii="Times New Roman" w:hAnsi="Times New Roman"/>
                <w:color w:val="auto"/>
                <w:sz w:val="24"/>
              </w:rPr>
              <w:t>o;</w:t>
            </w:r>
          </w:p>
          <w:p w14:paraId="6A701B15"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lastRenderedPageBreak/>
              <w:t xml:space="preserve">6. Rēzekne – 392 914,07  </w:t>
            </w:r>
            <w:r w:rsidRPr="002139B8">
              <w:rPr>
                <w:rFonts w:ascii="Times New Roman" w:hAnsi="Times New Roman"/>
                <w:i/>
                <w:color w:val="auto"/>
                <w:sz w:val="24"/>
              </w:rPr>
              <w:t>euro</w:t>
            </w:r>
            <w:r w:rsidRPr="002139B8">
              <w:rPr>
                <w:rFonts w:ascii="Times New Roman" w:hAnsi="Times New Roman"/>
                <w:color w:val="auto"/>
                <w:sz w:val="24"/>
              </w:rPr>
              <w:t>;</w:t>
            </w:r>
          </w:p>
          <w:p w14:paraId="69CBD5E2"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t xml:space="preserve">7.Valmiera – 460 546,83 </w:t>
            </w:r>
            <w:r w:rsidRPr="002139B8">
              <w:rPr>
                <w:rFonts w:ascii="Times New Roman" w:hAnsi="Times New Roman"/>
                <w:i/>
                <w:color w:val="auto"/>
                <w:sz w:val="24"/>
              </w:rPr>
              <w:t>euro</w:t>
            </w:r>
            <w:r w:rsidRPr="002139B8">
              <w:rPr>
                <w:rFonts w:ascii="Times New Roman" w:hAnsi="Times New Roman"/>
                <w:color w:val="auto"/>
                <w:sz w:val="24"/>
              </w:rPr>
              <w:t>;</w:t>
            </w:r>
          </w:p>
          <w:p w14:paraId="4BD93676" w14:textId="77777777" w:rsidR="00B97138" w:rsidRPr="002139B8" w:rsidRDefault="00B97138" w:rsidP="004E6AC1">
            <w:pPr>
              <w:pStyle w:val="NoSpacing"/>
              <w:ind w:left="720"/>
              <w:jc w:val="both"/>
              <w:rPr>
                <w:rFonts w:ascii="Times New Roman" w:hAnsi="Times New Roman"/>
                <w:color w:val="auto"/>
                <w:sz w:val="24"/>
              </w:rPr>
            </w:pPr>
            <w:r w:rsidRPr="002139B8">
              <w:rPr>
                <w:rFonts w:ascii="Times New Roman" w:hAnsi="Times New Roman"/>
                <w:color w:val="auto"/>
                <w:sz w:val="24"/>
              </w:rPr>
              <w:t xml:space="preserve">8.Ventspils – 768 275,78 </w:t>
            </w:r>
            <w:r w:rsidRPr="002139B8">
              <w:rPr>
                <w:rFonts w:ascii="Times New Roman" w:hAnsi="Times New Roman"/>
                <w:i/>
                <w:color w:val="auto"/>
                <w:sz w:val="24"/>
              </w:rPr>
              <w:t>euro</w:t>
            </w:r>
            <w:r w:rsidRPr="002139B8">
              <w:rPr>
                <w:rFonts w:ascii="Times New Roman" w:hAnsi="Times New Roman"/>
                <w:color w:val="auto"/>
                <w:sz w:val="24"/>
              </w:rPr>
              <w:t>.</w:t>
            </w:r>
          </w:p>
          <w:p w14:paraId="670B3444" w14:textId="360D4916" w:rsidR="00B97138" w:rsidRPr="002139B8" w:rsidRDefault="00B97138" w:rsidP="00023716">
            <w:pPr>
              <w:pStyle w:val="NoSpacing"/>
              <w:jc w:val="both"/>
              <w:rPr>
                <w:rFonts w:ascii="Times New Roman" w:hAnsi="Times New Roman"/>
                <w:b/>
                <w:color w:val="auto"/>
                <w:sz w:val="24"/>
                <w:highlight w:val="yellow"/>
              </w:rPr>
            </w:pPr>
            <w:r w:rsidRPr="002139B8">
              <w:rPr>
                <w:rFonts w:ascii="Times New Roman" w:hAnsi="Times New Roman"/>
                <w:color w:val="auto"/>
                <w:sz w:val="24"/>
              </w:rPr>
              <w:t>Ja projekta iesnieguma 2.pielikumā plānotā finanšu plūsma līdz 2017.gada beigām nesasniedz noteiktā finanšu rādītāja apmēru, rādītāja izpildi pārbauda pēc šāda algoritma: n1 + (n2 x 50%) ≥ F, kur n1 = projekta finansējums 2017.gadā, n2 = projekta finansējums 2018.gadā un F = finansējuma saņēmējam noteiktais finanšu rādītājs (līdz 2018.gadam sertificēti izdevumi).</w:t>
            </w:r>
          </w:p>
          <w:p w14:paraId="33E10805" w14:textId="77777777" w:rsidR="00B97138" w:rsidRPr="002139B8" w:rsidRDefault="00B97138" w:rsidP="00023716">
            <w:pPr>
              <w:pStyle w:val="NoSpacing"/>
              <w:jc w:val="both"/>
              <w:rPr>
                <w:rFonts w:ascii="Times New Roman" w:hAnsi="Times New Roman"/>
                <w:color w:val="auto"/>
                <w:sz w:val="24"/>
              </w:rPr>
            </w:pPr>
            <w:r w:rsidRPr="002139B8">
              <w:rPr>
                <w:rFonts w:ascii="Times New Roman" w:hAnsi="Times New Roman"/>
                <w:color w:val="auto"/>
                <w:sz w:val="24"/>
              </w:rPr>
              <w:t>Ja projekta iesniegums neatbilst visām minētajām prasībām,</w:t>
            </w:r>
            <w:r w:rsidRPr="002139B8">
              <w:rPr>
                <w:rFonts w:ascii="Times New Roman" w:hAnsi="Times New Roman"/>
                <w:b/>
                <w:color w:val="auto"/>
                <w:sz w:val="24"/>
              </w:rPr>
              <w:t xml:space="preserve"> vērtējums ir „Jā, ar nosacījumu”</w:t>
            </w:r>
            <w:r w:rsidRPr="002139B8">
              <w:rPr>
                <w:rFonts w:ascii="Times New Roman" w:hAnsi="Times New Roman"/>
                <w:color w:val="auto"/>
                <w:sz w:val="24"/>
              </w:rPr>
              <w:t>, izvirza nosacījumu veikt atbilstošu precizējumu:</w:t>
            </w:r>
          </w:p>
          <w:p w14:paraId="5AFD7032" w14:textId="77777777" w:rsidR="00B97138" w:rsidRPr="00D67B3B" w:rsidRDefault="00B97138" w:rsidP="00B97138">
            <w:pPr>
              <w:pStyle w:val="NoSpacing"/>
              <w:numPr>
                <w:ilvl w:val="0"/>
                <w:numId w:val="16"/>
              </w:numPr>
              <w:ind w:left="306" w:hanging="306"/>
              <w:jc w:val="both"/>
              <w:rPr>
                <w:rFonts w:ascii="Times New Roman" w:hAnsi="Times New Roman"/>
                <w:b/>
                <w:sz w:val="24"/>
              </w:rPr>
            </w:pPr>
            <w:r w:rsidRPr="002139B8">
              <w:rPr>
                <w:rFonts w:ascii="Times New Roman" w:hAnsi="Times New Roman"/>
                <w:color w:val="auto"/>
                <w:sz w:val="24"/>
              </w:rPr>
              <w:t>precizēt projekta iesnieguma 1.5.</w:t>
            </w:r>
            <w:r w:rsidRPr="002139B8" w:rsidDel="00774044">
              <w:rPr>
                <w:rFonts w:ascii="Times New Roman" w:hAnsi="Times New Roman"/>
                <w:color w:val="auto"/>
                <w:sz w:val="24"/>
              </w:rPr>
              <w:t xml:space="preserve"> </w:t>
            </w:r>
            <w:r w:rsidRPr="002139B8">
              <w:rPr>
                <w:rFonts w:ascii="Times New Roman" w:hAnsi="Times New Roman"/>
                <w:color w:val="auto"/>
                <w:sz w:val="24"/>
              </w:rPr>
              <w:t>punktu</w:t>
            </w:r>
            <w:r w:rsidRPr="00D67B3B">
              <w:rPr>
                <w:rFonts w:ascii="Times New Roman" w:hAnsi="Times New Roman"/>
                <w:sz w:val="24"/>
              </w:rPr>
              <w:t>, katrai projekta darbībai norādot pamatotu, precīzi definētu vai izmērāmu rezultātu;</w:t>
            </w:r>
          </w:p>
          <w:p w14:paraId="47C619D6" w14:textId="77777777" w:rsidR="00B97138" w:rsidRPr="005A145D" w:rsidRDefault="00B97138" w:rsidP="00B97138">
            <w:pPr>
              <w:pStyle w:val="NoSpacing"/>
              <w:numPr>
                <w:ilvl w:val="0"/>
                <w:numId w:val="16"/>
              </w:numPr>
              <w:ind w:left="306" w:hanging="306"/>
              <w:jc w:val="both"/>
              <w:rPr>
                <w:rFonts w:ascii="Times New Roman" w:hAnsi="Times New Roman"/>
                <w:sz w:val="24"/>
              </w:rPr>
            </w:pPr>
            <w:r w:rsidRPr="00D67B3B">
              <w:rPr>
                <w:rFonts w:ascii="Times New Roman" w:hAnsi="Times New Roman"/>
                <w:sz w:val="24"/>
              </w:rPr>
              <w:t>precizēt projekta iesnieguma 1.6.</w:t>
            </w:r>
            <w:r w:rsidRPr="00D67B3B" w:rsidDel="00774044">
              <w:rPr>
                <w:rFonts w:ascii="Times New Roman" w:hAnsi="Times New Roman"/>
                <w:sz w:val="24"/>
              </w:rPr>
              <w:t xml:space="preserve"> </w:t>
            </w:r>
            <w:r w:rsidRPr="00D67B3B">
              <w:rPr>
                <w:rFonts w:ascii="Times New Roman" w:hAnsi="Times New Roman"/>
                <w:sz w:val="24"/>
              </w:rPr>
              <w:t>punktu norādot pamatotus, precīzi definētus un izmērāmus uzraudzības rādītājus;</w:t>
            </w:r>
          </w:p>
          <w:p w14:paraId="15DA0142" w14:textId="77777777" w:rsidR="00B97138" w:rsidRPr="005A145D" w:rsidRDefault="00B97138" w:rsidP="00B97138">
            <w:pPr>
              <w:pStyle w:val="NoSpacing"/>
              <w:numPr>
                <w:ilvl w:val="0"/>
                <w:numId w:val="16"/>
              </w:numPr>
              <w:ind w:left="306" w:hanging="306"/>
              <w:jc w:val="both"/>
              <w:rPr>
                <w:rFonts w:ascii="Times New Roman" w:hAnsi="Times New Roman"/>
                <w:color w:val="auto"/>
                <w:sz w:val="24"/>
              </w:rPr>
            </w:pPr>
            <w:r w:rsidRPr="005A145D">
              <w:rPr>
                <w:rFonts w:ascii="Times New Roman" w:hAnsi="Times New Roman"/>
                <w:color w:val="auto"/>
                <w:sz w:val="24"/>
              </w:rPr>
              <w:t xml:space="preserve">precizēt </w:t>
            </w:r>
            <w:r>
              <w:rPr>
                <w:rFonts w:ascii="Times New Roman" w:hAnsi="Times New Roman"/>
                <w:color w:val="auto"/>
                <w:sz w:val="24"/>
              </w:rPr>
              <w:t xml:space="preserve">projekta iesnieguma </w:t>
            </w:r>
            <w:r w:rsidRPr="0055575D">
              <w:rPr>
                <w:rFonts w:ascii="Times New Roman" w:hAnsi="Times New Roman"/>
                <w:color w:val="auto"/>
                <w:sz w:val="24"/>
              </w:rPr>
              <w:t>2.pielikumā plānot</w:t>
            </w:r>
            <w:r>
              <w:rPr>
                <w:rFonts w:ascii="Times New Roman" w:hAnsi="Times New Roman"/>
                <w:color w:val="auto"/>
                <w:sz w:val="24"/>
              </w:rPr>
              <w:t>o finanšu plūsmu.</w:t>
            </w:r>
          </w:p>
        </w:tc>
      </w:tr>
    </w:tbl>
    <w:p w14:paraId="0DE9D3C3" w14:textId="1DC2804D" w:rsidR="008D3E66" w:rsidRPr="008D3E66" w:rsidRDefault="008D3E66" w:rsidP="008D3E6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t>
      </w:r>
    </w:p>
    <w:sectPr w:rsidR="008D3E66" w:rsidRPr="008D3E66" w:rsidSect="00545051">
      <w:pgSz w:w="16838" w:h="11906" w:orient="landscape" w:code="9"/>
      <w:pgMar w:top="993"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9F3AF" w14:textId="77777777" w:rsidR="00EA371D" w:rsidRDefault="00EA371D" w:rsidP="00504BE5">
      <w:pPr>
        <w:spacing w:after="0" w:line="240" w:lineRule="auto"/>
      </w:pPr>
      <w:r>
        <w:separator/>
      </w:r>
    </w:p>
  </w:endnote>
  <w:endnote w:type="continuationSeparator" w:id="0">
    <w:p w14:paraId="60E3F520" w14:textId="77777777" w:rsidR="00EA371D" w:rsidRDefault="00EA371D" w:rsidP="00504BE5">
      <w:pPr>
        <w:spacing w:after="0" w:line="240" w:lineRule="auto"/>
      </w:pPr>
      <w:r>
        <w:continuationSeparator/>
      </w:r>
    </w:p>
  </w:endnote>
  <w:endnote w:type="continuationNotice" w:id="1">
    <w:p w14:paraId="38CAF5F0" w14:textId="77777777" w:rsidR="00EA371D" w:rsidRDefault="00EA37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614679"/>
      <w:docPartObj>
        <w:docPartGallery w:val="Page Numbers (Bottom of Page)"/>
        <w:docPartUnique/>
      </w:docPartObj>
    </w:sdtPr>
    <w:sdtEndPr>
      <w:rPr>
        <w:rFonts w:ascii="Times New Roman" w:hAnsi="Times New Roman" w:cs="Times New Roman"/>
        <w:noProof/>
      </w:rPr>
    </w:sdtEndPr>
    <w:sdtContent>
      <w:p w14:paraId="074FCA1A" w14:textId="5CF34191" w:rsidR="00EA371D" w:rsidRPr="00A637C6" w:rsidRDefault="00EA371D" w:rsidP="00A637C6">
        <w:pPr>
          <w:pStyle w:val="Footer"/>
          <w:jc w:val="center"/>
          <w:rPr>
            <w:rFonts w:ascii="Times New Roman" w:hAnsi="Times New Roman" w:cs="Times New Roman"/>
          </w:rPr>
        </w:pPr>
        <w:r w:rsidRPr="00A637C6">
          <w:rPr>
            <w:rFonts w:ascii="Times New Roman" w:hAnsi="Times New Roman" w:cs="Times New Roman"/>
          </w:rPr>
          <w:fldChar w:fldCharType="begin"/>
        </w:r>
        <w:r w:rsidRPr="00A637C6">
          <w:rPr>
            <w:rFonts w:ascii="Times New Roman" w:hAnsi="Times New Roman" w:cs="Times New Roman"/>
          </w:rPr>
          <w:instrText xml:space="preserve"> PAGE   \* MERGEFORMAT </w:instrText>
        </w:r>
        <w:r w:rsidRPr="00A637C6">
          <w:rPr>
            <w:rFonts w:ascii="Times New Roman" w:hAnsi="Times New Roman" w:cs="Times New Roman"/>
          </w:rPr>
          <w:fldChar w:fldCharType="separate"/>
        </w:r>
        <w:r w:rsidR="009217CF">
          <w:rPr>
            <w:rFonts w:ascii="Times New Roman" w:hAnsi="Times New Roman" w:cs="Times New Roman"/>
            <w:noProof/>
          </w:rPr>
          <w:t>5</w:t>
        </w:r>
        <w:r w:rsidRPr="00A637C6">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9D00" w14:textId="77777777" w:rsidR="00EA371D" w:rsidRDefault="00EA371D" w:rsidP="00504BE5">
      <w:pPr>
        <w:spacing w:after="0" w:line="240" w:lineRule="auto"/>
      </w:pPr>
      <w:r>
        <w:separator/>
      </w:r>
    </w:p>
  </w:footnote>
  <w:footnote w:type="continuationSeparator" w:id="0">
    <w:p w14:paraId="20322902" w14:textId="77777777" w:rsidR="00EA371D" w:rsidRDefault="00EA371D" w:rsidP="00504BE5">
      <w:pPr>
        <w:spacing w:after="0" w:line="240" w:lineRule="auto"/>
      </w:pPr>
      <w:r>
        <w:continuationSeparator/>
      </w:r>
    </w:p>
  </w:footnote>
  <w:footnote w:type="continuationNotice" w:id="1">
    <w:p w14:paraId="47C77BC6" w14:textId="77777777" w:rsidR="00EA371D" w:rsidRDefault="00EA371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FFFFFF89"/>
    <w:multiLevelType w:val="singleLevel"/>
    <w:tmpl w:val="3FFE69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B2A20"/>
    <w:multiLevelType w:val="hybridMultilevel"/>
    <w:tmpl w:val="692C5C84"/>
    <w:lvl w:ilvl="0" w:tplc="BCD25F96">
      <w:start w:val="1"/>
      <w:numFmt w:val="lowerLetter"/>
      <w:lvlText w:val="%1)"/>
      <w:lvlJc w:val="left"/>
      <w:pPr>
        <w:ind w:left="1145" w:hanging="360"/>
      </w:pPr>
      <w:rPr>
        <w:i w:val="0"/>
        <w:color w:val="auto"/>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2" w15:restartNumberingAfterBreak="0">
    <w:nsid w:val="03BF6D75"/>
    <w:multiLevelType w:val="hybridMultilevel"/>
    <w:tmpl w:val="017EB67E"/>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3AF53C2"/>
    <w:multiLevelType w:val="hybridMultilevel"/>
    <w:tmpl w:val="0AB6387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5F3A36"/>
    <w:multiLevelType w:val="hybridMultilevel"/>
    <w:tmpl w:val="AC5CE78A"/>
    <w:lvl w:ilvl="0" w:tplc="D7A21DD4">
      <w:start w:val="1"/>
      <w:numFmt w:val="bullet"/>
      <w:lvlText w:val=""/>
      <w:lvlJc w:val="left"/>
      <w:pPr>
        <w:ind w:left="1440" w:hanging="360"/>
      </w:pPr>
      <w:rPr>
        <w:rFonts w:ascii="Symbol" w:hAnsi="Symbol"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F57A36"/>
    <w:multiLevelType w:val="hybridMultilevel"/>
    <w:tmpl w:val="89E6D6EC"/>
    <w:lvl w:ilvl="0" w:tplc="04260001">
      <w:start w:val="1"/>
      <w:numFmt w:val="bullet"/>
      <w:lvlText w:val=""/>
      <w:lvlJc w:val="left"/>
      <w:pPr>
        <w:ind w:left="720" w:hanging="360"/>
      </w:pPr>
      <w:rPr>
        <w:rFonts w:ascii="Symbol" w:hAnsi="Symbol"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6A72D2"/>
    <w:multiLevelType w:val="hybridMultilevel"/>
    <w:tmpl w:val="6DB2A73A"/>
    <w:lvl w:ilvl="0" w:tplc="E5EC1E8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25103C0"/>
    <w:multiLevelType w:val="hybridMultilevel"/>
    <w:tmpl w:val="3EF81CD8"/>
    <w:lvl w:ilvl="0" w:tplc="0A5E00B4">
      <w:start w:val="1"/>
      <w:numFmt w:val="decimal"/>
      <w:lvlText w:val="%1)"/>
      <w:lvlJc w:val="left"/>
      <w:pPr>
        <w:ind w:left="720" w:hanging="360"/>
      </w:pPr>
      <w:rPr>
        <w:rFonts w:hint="default"/>
        <w:i w:val="0"/>
        <w:color w:val="auto"/>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A96771"/>
    <w:multiLevelType w:val="multilevel"/>
    <w:tmpl w:val="267E2DBC"/>
    <w:lvl w:ilvl="0">
      <w:start w:val="1"/>
      <w:numFmt w:val="decimal"/>
      <w:lvlText w:val="%1."/>
      <w:lvlJc w:val="left"/>
      <w:pPr>
        <w:ind w:left="454" w:hanging="454"/>
      </w:pPr>
      <w:rPr>
        <w:rFonts w:ascii="Times New Roman" w:hAnsi="Times New Roman" w:cs="Times New Roman" w:hint="default"/>
        <w:b w:val="0"/>
        <w:sz w:val="24"/>
        <w:szCs w:val="24"/>
      </w:rPr>
    </w:lvl>
    <w:lvl w:ilvl="1">
      <w:start w:val="1"/>
      <w:numFmt w:val="decimal"/>
      <w:isLgl/>
      <w:lvlText w:val="%16.%2."/>
      <w:lvlJc w:val="left"/>
      <w:pPr>
        <w:ind w:left="1077" w:hanging="567"/>
      </w:pPr>
      <w:rPr>
        <w:rFonts w:hint="default"/>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12" w15:restartNumberingAfterBreak="0">
    <w:nsid w:val="50243F99"/>
    <w:multiLevelType w:val="hybridMultilevel"/>
    <w:tmpl w:val="38821CE8"/>
    <w:lvl w:ilvl="0" w:tplc="2A50AD4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5EDE3B4F"/>
    <w:multiLevelType w:val="hybridMultilevel"/>
    <w:tmpl w:val="EF90EB6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634639BA"/>
    <w:multiLevelType w:val="hybridMultilevel"/>
    <w:tmpl w:val="A10CF552"/>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0426000D">
      <w:start w:val="1"/>
      <w:numFmt w:val="bullet"/>
      <w:lvlText w:val=""/>
      <w:lvlPicBulletId w:val="0"/>
      <w:lvlJc w:val="left"/>
      <w:pPr>
        <w:tabs>
          <w:tab w:val="num" w:pos="1503"/>
        </w:tabs>
        <w:ind w:left="1503" w:hanging="360"/>
      </w:pPr>
      <w:rPr>
        <w:rFonts w:ascii="Wingdings" w:hAnsi="Wingdings"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7C866765"/>
    <w:multiLevelType w:val="hybridMultilevel"/>
    <w:tmpl w:val="B0DA17AE"/>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3"/>
  </w:num>
  <w:num w:numId="5">
    <w:abstractNumId w:val="14"/>
  </w:num>
  <w:num w:numId="6">
    <w:abstractNumId w:val="1"/>
  </w:num>
  <w:num w:numId="7">
    <w:abstractNumId w:val="5"/>
  </w:num>
  <w:num w:numId="8">
    <w:abstractNumId w:val="10"/>
  </w:num>
  <w:num w:numId="9">
    <w:abstractNumId w:val="2"/>
  </w:num>
  <w:num w:numId="10">
    <w:abstractNumId w:val="12"/>
  </w:num>
  <w:num w:numId="11">
    <w:abstractNumId w:val="4"/>
  </w:num>
  <w:num w:numId="12">
    <w:abstractNumId w:val="8"/>
  </w:num>
  <w:num w:numId="13">
    <w:abstractNumId w:val="6"/>
  </w:num>
  <w:num w:numId="14">
    <w:abstractNumId w:val="7"/>
  </w:num>
  <w:num w:numId="15">
    <w:abstractNumId w:val="3"/>
  </w:num>
  <w:num w:numId="16">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C86"/>
    <w:rsid w:val="000002D2"/>
    <w:rsid w:val="00002D77"/>
    <w:rsid w:val="00004B9C"/>
    <w:rsid w:val="00006630"/>
    <w:rsid w:val="00012EF9"/>
    <w:rsid w:val="00014323"/>
    <w:rsid w:val="00014E9E"/>
    <w:rsid w:val="00034D58"/>
    <w:rsid w:val="00035518"/>
    <w:rsid w:val="00041B8B"/>
    <w:rsid w:val="0004329F"/>
    <w:rsid w:val="00044574"/>
    <w:rsid w:val="000478EC"/>
    <w:rsid w:val="00050CA0"/>
    <w:rsid w:val="00051CC4"/>
    <w:rsid w:val="0005550D"/>
    <w:rsid w:val="00056B6C"/>
    <w:rsid w:val="00060352"/>
    <w:rsid w:val="000645B7"/>
    <w:rsid w:val="000672D0"/>
    <w:rsid w:val="000731CD"/>
    <w:rsid w:val="000743B4"/>
    <w:rsid w:val="00077C7C"/>
    <w:rsid w:val="000859F9"/>
    <w:rsid w:val="00085B29"/>
    <w:rsid w:val="0008711A"/>
    <w:rsid w:val="00093B83"/>
    <w:rsid w:val="00094E5D"/>
    <w:rsid w:val="000A10C3"/>
    <w:rsid w:val="000A31E3"/>
    <w:rsid w:val="000B41D5"/>
    <w:rsid w:val="000B7CF7"/>
    <w:rsid w:val="000C0672"/>
    <w:rsid w:val="000C162B"/>
    <w:rsid w:val="000C7001"/>
    <w:rsid w:val="000C708C"/>
    <w:rsid w:val="000C7A4F"/>
    <w:rsid w:val="000D00EC"/>
    <w:rsid w:val="000D25B8"/>
    <w:rsid w:val="000D32F5"/>
    <w:rsid w:val="000D387E"/>
    <w:rsid w:val="000E2811"/>
    <w:rsid w:val="000E51D4"/>
    <w:rsid w:val="000E5EFE"/>
    <w:rsid w:val="000F16F6"/>
    <w:rsid w:val="000F1881"/>
    <w:rsid w:val="001025DA"/>
    <w:rsid w:val="00107411"/>
    <w:rsid w:val="00107B11"/>
    <w:rsid w:val="00120747"/>
    <w:rsid w:val="00120B0C"/>
    <w:rsid w:val="0012171F"/>
    <w:rsid w:val="001275FF"/>
    <w:rsid w:val="00132F07"/>
    <w:rsid w:val="00134D03"/>
    <w:rsid w:val="001415E9"/>
    <w:rsid w:val="00145153"/>
    <w:rsid w:val="001514D6"/>
    <w:rsid w:val="00152BD5"/>
    <w:rsid w:val="00152DBD"/>
    <w:rsid w:val="0015762D"/>
    <w:rsid w:val="00160C6B"/>
    <w:rsid w:val="00161ABF"/>
    <w:rsid w:val="001639C9"/>
    <w:rsid w:val="00166AA0"/>
    <w:rsid w:val="00175DDB"/>
    <w:rsid w:val="001771A7"/>
    <w:rsid w:val="00177D2C"/>
    <w:rsid w:val="00180F8F"/>
    <w:rsid w:val="00182D00"/>
    <w:rsid w:val="0018513E"/>
    <w:rsid w:val="00187DEA"/>
    <w:rsid w:val="001900BE"/>
    <w:rsid w:val="0019391B"/>
    <w:rsid w:val="001940C0"/>
    <w:rsid w:val="001A47B8"/>
    <w:rsid w:val="001A480C"/>
    <w:rsid w:val="001A63A8"/>
    <w:rsid w:val="001B33D2"/>
    <w:rsid w:val="001B717C"/>
    <w:rsid w:val="001C1EA0"/>
    <w:rsid w:val="001C2B45"/>
    <w:rsid w:val="001C37E4"/>
    <w:rsid w:val="001D2951"/>
    <w:rsid w:val="001D5567"/>
    <w:rsid w:val="001E132D"/>
    <w:rsid w:val="001E35EE"/>
    <w:rsid w:val="001E73C6"/>
    <w:rsid w:val="001F2590"/>
    <w:rsid w:val="00200E6F"/>
    <w:rsid w:val="002018E1"/>
    <w:rsid w:val="0020260F"/>
    <w:rsid w:val="002026B2"/>
    <w:rsid w:val="002038A0"/>
    <w:rsid w:val="00205330"/>
    <w:rsid w:val="0020783D"/>
    <w:rsid w:val="00212041"/>
    <w:rsid w:val="0021313D"/>
    <w:rsid w:val="002139B8"/>
    <w:rsid w:val="002206E4"/>
    <w:rsid w:val="00221CFD"/>
    <w:rsid w:val="00225A64"/>
    <w:rsid w:val="00225EDD"/>
    <w:rsid w:val="002268E3"/>
    <w:rsid w:val="00227B91"/>
    <w:rsid w:val="00227DFC"/>
    <w:rsid w:val="0023477F"/>
    <w:rsid w:val="00245EC1"/>
    <w:rsid w:val="002477CA"/>
    <w:rsid w:val="002479EA"/>
    <w:rsid w:val="00250DB5"/>
    <w:rsid w:val="00251252"/>
    <w:rsid w:val="00255E46"/>
    <w:rsid w:val="002602BE"/>
    <w:rsid w:val="0026069E"/>
    <w:rsid w:val="00261C2D"/>
    <w:rsid w:val="002643FB"/>
    <w:rsid w:val="00264BDC"/>
    <w:rsid w:val="00274B06"/>
    <w:rsid w:val="002755E5"/>
    <w:rsid w:val="00280D00"/>
    <w:rsid w:val="0028132B"/>
    <w:rsid w:val="002834D3"/>
    <w:rsid w:val="00285A66"/>
    <w:rsid w:val="00292A44"/>
    <w:rsid w:val="00293505"/>
    <w:rsid w:val="0029508D"/>
    <w:rsid w:val="002A127D"/>
    <w:rsid w:val="002A20DB"/>
    <w:rsid w:val="002A55BE"/>
    <w:rsid w:val="002B2398"/>
    <w:rsid w:val="002B2426"/>
    <w:rsid w:val="002B3F20"/>
    <w:rsid w:val="002B4191"/>
    <w:rsid w:val="002B477A"/>
    <w:rsid w:val="002B6021"/>
    <w:rsid w:val="002C007A"/>
    <w:rsid w:val="002C0B6A"/>
    <w:rsid w:val="002C1257"/>
    <w:rsid w:val="002C26B4"/>
    <w:rsid w:val="002C4FED"/>
    <w:rsid w:val="002C71CA"/>
    <w:rsid w:val="002D1320"/>
    <w:rsid w:val="002D3594"/>
    <w:rsid w:val="002D5DB7"/>
    <w:rsid w:val="002E0A8A"/>
    <w:rsid w:val="002E304C"/>
    <w:rsid w:val="002E34DD"/>
    <w:rsid w:val="002E435E"/>
    <w:rsid w:val="002E5192"/>
    <w:rsid w:val="002E6FAF"/>
    <w:rsid w:val="002F3205"/>
    <w:rsid w:val="002F42B6"/>
    <w:rsid w:val="002F5560"/>
    <w:rsid w:val="00303D22"/>
    <w:rsid w:val="0030799A"/>
    <w:rsid w:val="00307F42"/>
    <w:rsid w:val="00316630"/>
    <w:rsid w:val="00325181"/>
    <w:rsid w:val="00326AC6"/>
    <w:rsid w:val="00331E79"/>
    <w:rsid w:val="00332ECE"/>
    <w:rsid w:val="0033415A"/>
    <w:rsid w:val="00335553"/>
    <w:rsid w:val="00340FF3"/>
    <w:rsid w:val="003424B8"/>
    <w:rsid w:val="00355E95"/>
    <w:rsid w:val="0035629F"/>
    <w:rsid w:val="0035790F"/>
    <w:rsid w:val="003618E2"/>
    <w:rsid w:val="00361C84"/>
    <w:rsid w:val="00363367"/>
    <w:rsid w:val="00366C57"/>
    <w:rsid w:val="00367E84"/>
    <w:rsid w:val="003743B0"/>
    <w:rsid w:val="00380599"/>
    <w:rsid w:val="00387930"/>
    <w:rsid w:val="00390D84"/>
    <w:rsid w:val="00396605"/>
    <w:rsid w:val="00396F13"/>
    <w:rsid w:val="00396F84"/>
    <w:rsid w:val="003A1C1D"/>
    <w:rsid w:val="003A7697"/>
    <w:rsid w:val="003B3551"/>
    <w:rsid w:val="003B669F"/>
    <w:rsid w:val="003C04F4"/>
    <w:rsid w:val="003C065B"/>
    <w:rsid w:val="003C0CE6"/>
    <w:rsid w:val="003C3C5F"/>
    <w:rsid w:val="003D2ADA"/>
    <w:rsid w:val="003D7C91"/>
    <w:rsid w:val="003E4646"/>
    <w:rsid w:val="003E547F"/>
    <w:rsid w:val="003F2552"/>
    <w:rsid w:val="003F2BA9"/>
    <w:rsid w:val="003F3370"/>
    <w:rsid w:val="003F5D57"/>
    <w:rsid w:val="003F7C94"/>
    <w:rsid w:val="004050D2"/>
    <w:rsid w:val="0040657A"/>
    <w:rsid w:val="0041031C"/>
    <w:rsid w:val="004150C9"/>
    <w:rsid w:val="00417489"/>
    <w:rsid w:val="004174DD"/>
    <w:rsid w:val="004212CD"/>
    <w:rsid w:val="004271A3"/>
    <w:rsid w:val="004410E9"/>
    <w:rsid w:val="00441D7C"/>
    <w:rsid w:val="00443DC4"/>
    <w:rsid w:val="00447E15"/>
    <w:rsid w:val="004547CD"/>
    <w:rsid w:val="00456CBA"/>
    <w:rsid w:val="00456D9C"/>
    <w:rsid w:val="00456F07"/>
    <w:rsid w:val="00463000"/>
    <w:rsid w:val="00463AC0"/>
    <w:rsid w:val="00463C43"/>
    <w:rsid w:val="00463D98"/>
    <w:rsid w:val="004657AE"/>
    <w:rsid w:val="00473676"/>
    <w:rsid w:val="00474138"/>
    <w:rsid w:val="00474852"/>
    <w:rsid w:val="00475216"/>
    <w:rsid w:val="00476A71"/>
    <w:rsid w:val="00481C31"/>
    <w:rsid w:val="00484227"/>
    <w:rsid w:val="004843DB"/>
    <w:rsid w:val="00490E9B"/>
    <w:rsid w:val="00493008"/>
    <w:rsid w:val="0049415E"/>
    <w:rsid w:val="00495BA3"/>
    <w:rsid w:val="0049644A"/>
    <w:rsid w:val="004A18EC"/>
    <w:rsid w:val="004A4D06"/>
    <w:rsid w:val="004A5993"/>
    <w:rsid w:val="004B1DE3"/>
    <w:rsid w:val="004B3B7E"/>
    <w:rsid w:val="004B6AFD"/>
    <w:rsid w:val="004C26CF"/>
    <w:rsid w:val="004D358D"/>
    <w:rsid w:val="004D3A1D"/>
    <w:rsid w:val="004D484F"/>
    <w:rsid w:val="004E0F5E"/>
    <w:rsid w:val="004E4237"/>
    <w:rsid w:val="004E4456"/>
    <w:rsid w:val="004E6AC1"/>
    <w:rsid w:val="004F0BB2"/>
    <w:rsid w:val="004F141F"/>
    <w:rsid w:val="004F4F6D"/>
    <w:rsid w:val="004F54E1"/>
    <w:rsid w:val="004F6BC2"/>
    <w:rsid w:val="004F71E7"/>
    <w:rsid w:val="00501D44"/>
    <w:rsid w:val="00504923"/>
    <w:rsid w:val="00504BE5"/>
    <w:rsid w:val="00506B99"/>
    <w:rsid w:val="005119E7"/>
    <w:rsid w:val="00511F40"/>
    <w:rsid w:val="00512B2F"/>
    <w:rsid w:val="00514ACF"/>
    <w:rsid w:val="005171B3"/>
    <w:rsid w:val="00522159"/>
    <w:rsid w:val="0053061A"/>
    <w:rsid w:val="00530AFD"/>
    <w:rsid w:val="005326E6"/>
    <w:rsid w:val="00536424"/>
    <w:rsid w:val="00536ABA"/>
    <w:rsid w:val="00545051"/>
    <w:rsid w:val="00546C1C"/>
    <w:rsid w:val="00550DEF"/>
    <w:rsid w:val="005527BA"/>
    <w:rsid w:val="0055388C"/>
    <w:rsid w:val="0055390F"/>
    <w:rsid w:val="00566A97"/>
    <w:rsid w:val="0057089D"/>
    <w:rsid w:val="00572187"/>
    <w:rsid w:val="0057311A"/>
    <w:rsid w:val="00577733"/>
    <w:rsid w:val="00583F1F"/>
    <w:rsid w:val="005866B7"/>
    <w:rsid w:val="005967D3"/>
    <w:rsid w:val="0059736A"/>
    <w:rsid w:val="005A14F4"/>
    <w:rsid w:val="005A3B33"/>
    <w:rsid w:val="005B2B40"/>
    <w:rsid w:val="005B3F49"/>
    <w:rsid w:val="005B507F"/>
    <w:rsid w:val="005C04C5"/>
    <w:rsid w:val="005C04E8"/>
    <w:rsid w:val="005C088F"/>
    <w:rsid w:val="005C102D"/>
    <w:rsid w:val="005C2B2F"/>
    <w:rsid w:val="005C3C27"/>
    <w:rsid w:val="005C4114"/>
    <w:rsid w:val="005C4755"/>
    <w:rsid w:val="005C5770"/>
    <w:rsid w:val="005C5A88"/>
    <w:rsid w:val="005C5AC8"/>
    <w:rsid w:val="005D3D62"/>
    <w:rsid w:val="005E2BDC"/>
    <w:rsid w:val="005E3BC5"/>
    <w:rsid w:val="005E4379"/>
    <w:rsid w:val="005F5911"/>
    <w:rsid w:val="005F6ADD"/>
    <w:rsid w:val="0060446D"/>
    <w:rsid w:val="00605D23"/>
    <w:rsid w:val="00607940"/>
    <w:rsid w:val="006114C1"/>
    <w:rsid w:val="0061259D"/>
    <w:rsid w:val="0061347B"/>
    <w:rsid w:val="00613D54"/>
    <w:rsid w:val="00617DBE"/>
    <w:rsid w:val="0062627B"/>
    <w:rsid w:val="006300A4"/>
    <w:rsid w:val="00630207"/>
    <w:rsid w:val="0063090A"/>
    <w:rsid w:val="00632CB5"/>
    <w:rsid w:val="00637D23"/>
    <w:rsid w:val="00644898"/>
    <w:rsid w:val="00650FF5"/>
    <w:rsid w:val="00655151"/>
    <w:rsid w:val="00660B1B"/>
    <w:rsid w:val="00660C44"/>
    <w:rsid w:val="00664012"/>
    <w:rsid w:val="0066612C"/>
    <w:rsid w:val="00671E25"/>
    <w:rsid w:val="00671EF6"/>
    <w:rsid w:val="006802F3"/>
    <w:rsid w:val="006808C4"/>
    <w:rsid w:val="006934DB"/>
    <w:rsid w:val="00696C90"/>
    <w:rsid w:val="006A257D"/>
    <w:rsid w:val="006A5FAF"/>
    <w:rsid w:val="006C1DEE"/>
    <w:rsid w:val="006C3D95"/>
    <w:rsid w:val="006C4453"/>
    <w:rsid w:val="006C5F59"/>
    <w:rsid w:val="006D4545"/>
    <w:rsid w:val="006D4DD0"/>
    <w:rsid w:val="006D5A52"/>
    <w:rsid w:val="006D6888"/>
    <w:rsid w:val="006E278A"/>
    <w:rsid w:val="006E6BA7"/>
    <w:rsid w:val="006F1313"/>
    <w:rsid w:val="006F25A8"/>
    <w:rsid w:val="00703100"/>
    <w:rsid w:val="00703AE6"/>
    <w:rsid w:val="00703E56"/>
    <w:rsid w:val="00704AE6"/>
    <w:rsid w:val="00715EB3"/>
    <w:rsid w:val="00720C06"/>
    <w:rsid w:val="00723FB2"/>
    <w:rsid w:val="00725017"/>
    <w:rsid w:val="00725D06"/>
    <w:rsid w:val="00732364"/>
    <w:rsid w:val="007414CB"/>
    <w:rsid w:val="007427C1"/>
    <w:rsid w:val="007437D8"/>
    <w:rsid w:val="007449D4"/>
    <w:rsid w:val="00746E1B"/>
    <w:rsid w:val="00747382"/>
    <w:rsid w:val="00754EB1"/>
    <w:rsid w:val="00755E3A"/>
    <w:rsid w:val="007560A3"/>
    <w:rsid w:val="00756748"/>
    <w:rsid w:val="00757966"/>
    <w:rsid w:val="00761EDD"/>
    <w:rsid w:val="007636B2"/>
    <w:rsid w:val="00764DAB"/>
    <w:rsid w:val="007664A8"/>
    <w:rsid w:val="00773872"/>
    <w:rsid w:val="00774F6E"/>
    <w:rsid w:val="00775469"/>
    <w:rsid w:val="007811FE"/>
    <w:rsid w:val="007950CB"/>
    <w:rsid w:val="007A4FA1"/>
    <w:rsid w:val="007A5B39"/>
    <w:rsid w:val="007A6622"/>
    <w:rsid w:val="007A74F3"/>
    <w:rsid w:val="007B1F1F"/>
    <w:rsid w:val="007B3C86"/>
    <w:rsid w:val="007B52E2"/>
    <w:rsid w:val="007B5E5F"/>
    <w:rsid w:val="007D0195"/>
    <w:rsid w:val="007F56D9"/>
    <w:rsid w:val="007F5B4B"/>
    <w:rsid w:val="0080148E"/>
    <w:rsid w:val="008051B7"/>
    <w:rsid w:val="008058CE"/>
    <w:rsid w:val="00811D1C"/>
    <w:rsid w:val="008130FC"/>
    <w:rsid w:val="0081339C"/>
    <w:rsid w:val="00816C97"/>
    <w:rsid w:val="0081795A"/>
    <w:rsid w:val="00823B18"/>
    <w:rsid w:val="00823E7F"/>
    <w:rsid w:val="0083134B"/>
    <w:rsid w:val="008337E4"/>
    <w:rsid w:val="00835497"/>
    <w:rsid w:val="00836005"/>
    <w:rsid w:val="0084326C"/>
    <w:rsid w:val="00850629"/>
    <w:rsid w:val="0085375F"/>
    <w:rsid w:val="00854A11"/>
    <w:rsid w:val="00862618"/>
    <w:rsid w:val="00875BF5"/>
    <w:rsid w:val="00875C00"/>
    <w:rsid w:val="00877ABA"/>
    <w:rsid w:val="0088415E"/>
    <w:rsid w:val="00891557"/>
    <w:rsid w:val="008928A7"/>
    <w:rsid w:val="008959ED"/>
    <w:rsid w:val="00896885"/>
    <w:rsid w:val="008A2CD8"/>
    <w:rsid w:val="008B052C"/>
    <w:rsid w:val="008B14FB"/>
    <w:rsid w:val="008B2625"/>
    <w:rsid w:val="008B4297"/>
    <w:rsid w:val="008B4300"/>
    <w:rsid w:val="008B4B81"/>
    <w:rsid w:val="008B58AE"/>
    <w:rsid w:val="008C0086"/>
    <w:rsid w:val="008C5A6E"/>
    <w:rsid w:val="008D0B65"/>
    <w:rsid w:val="008D25F1"/>
    <w:rsid w:val="008D3E66"/>
    <w:rsid w:val="008D639B"/>
    <w:rsid w:val="008E125B"/>
    <w:rsid w:val="008E365E"/>
    <w:rsid w:val="008E4579"/>
    <w:rsid w:val="008F48D7"/>
    <w:rsid w:val="008F5202"/>
    <w:rsid w:val="008F65F4"/>
    <w:rsid w:val="008F78FE"/>
    <w:rsid w:val="00900C48"/>
    <w:rsid w:val="00900F57"/>
    <w:rsid w:val="00902729"/>
    <w:rsid w:val="00904A12"/>
    <w:rsid w:val="0090671D"/>
    <w:rsid w:val="00907318"/>
    <w:rsid w:val="00910DE4"/>
    <w:rsid w:val="00916609"/>
    <w:rsid w:val="00916C65"/>
    <w:rsid w:val="009211B9"/>
    <w:rsid w:val="009217CF"/>
    <w:rsid w:val="00932ED4"/>
    <w:rsid w:val="009375E7"/>
    <w:rsid w:val="00943616"/>
    <w:rsid w:val="00945B1D"/>
    <w:rsid w:val="00946972"/>
    <w:rsid w:val="00947DD1"/>
    <w:rsid w:val="009500D0"/>
    <w:rsid w:val="009511AD"/>
    <w:rsid w:val="00952094"/>
    <w:rsid w:val="00957D51"/>
    <w:rsid w:val="00961066"/>
    <w:rsid w:val="0096156A"/>
    <w:rsid w:val="00961C87"/>
    <w:rsid w:val="00961E49"/>
    <w:rsid w:val="0097400A"/>
    <w:rsid w:val="00976CE8"/>
    <w:rsid w:val="00987D78"/>
    <w:rsid w:val="009A189E"/>
    <w:rsid w:val="009A2907"/>
    <w:rsid w:val="009A6EDC"/>
    <w:rsid w:val="009A77EF"/>
    <w:rsid w:val="009B3695"/>
    <w:rsid w:val="009B78E8"/>
    <w:rsid w:val="009C2B58"/>
    <w:rsid w:val="009C2FED"/>
    <w:rsid w:val="009C5508"/>
    <w:rsid w:val="009C748B"/>
    <w:rsid w:val="009F1525"/>
    <w:rsid w:val="00A00830"/>
    <w:rsid w:val="00A0189F"/>
    <w:rsid w:val="00A035CF"/>
    <w:rsid w:val="00A06B46"/>
    <w:rsid w:val="00A10F3E"/>
    <w:rsid w:val="00A13A7B"/>
    <w:rsid w:val="00A2008B"/>
    <w:rsid w:val="00A3109A"/>
    <w:rsid w:val="00A3269D"/>
    <w:rsid w:val="00A364E2"/>
    <w:rsid w:val="00A41694"/>
    <w:rsid w:val="00A41DC2"/>
    <w:rsid w:val="00A434E9"/>
    <w:rsid w:val="00A4576E"/>
    <w:rsid w:val="00A45E8E"/>
    <w:rsid w:val="00A6189B"/>
    <w:rsid w:val="00A637C6"/>
    <w:rsid w:val="00A72709"/>
    <w:rsid w:val="00A74D38"/>
    <w:rsid w:val="00A818B5"/>
    <w:rsid w:val="00A95DCA"/>
    <w:rsid w:val="00AA00A5"/>
    <w:rsid w:val="00AA179D"/>
    <w:rsid w:val="00AA1F09"/>
    <w:rsid w:val="00AA2B48"/>
    <w:rsid w:val="00AA32F7"/>
    <w:rsid w:val="00AA4223"/>
    <w:rsid w:val="00AB1D87"/>
    <w:rsid w:val="00AB3103"/>
    <w:rsid w:val="00AB5172"/>
    <w:rsid w:val="00AB5647"/>
    <w:rsid w:val="00AB7713"/>
    <w:rsid w:val="00AC3B27"/>
    <w:rsid w:val="00AD097B"/>
    <w:rsid w:val="00AD261A"/>
    <w:rsid w:val="00AD7E70"/>
    <w:rsid w:val="00AE1543"/>
    <w:rsid w:val="00AE22B3"/>
    <w:rsid w:val="00AE2877"/>
    <w:rsid w:val="00AE2C6C"/>
    <w:rsid w:val="00AE61EB"/>
    <w:rsid w:val="00AE6FEC"/>
    <w:rsid w:val="00AF04D5"/>
    <w:rsid w:val="00AF15F5"/>
    <w:rsid w:val="00AF2163"/>
    <w:rsid w:val="00AF63A5"/>
    <w:rsid w:val="00B025CB"/>
    <w:rsid w:val="00B034B0"/>
    <w:rsid w:val="00B1717A"/>
    <w:rsid w:val="00B21324"/>
    <w:rsid w:val="00B24536"/>
    <w:rsid w:val="00B30B14"/>
    <w:rsid w:val="00B344B9"/>
    <w:rsid w:val="00B36A50"/>
    <w:rsid w:val="00B3721C"/>
    <w:rsid w:val="00B412D8"/>
    <w:rsid w:val="00B4338E"/>
    <w:rsid w:val="00B54A1D"/>
    <w:rsid w:val="00B55B71"/>
    <w:rsid w:val="00B62482"/>
    <w:rsid w:val="00B64D57"/>
    <w:rsid w:val="00B7305C"/>
    <w:rsid w:val="00B73E17"/>
    <w:rsid w:val="00B7614D"/>
    <w:rsid w:val="00B7634B"/>
    <w:rsid w:val="00B84C61"/>
    <w:rsid w:val="00B904EE"/>
    <w:rsid w:val="00B91CE0"/>
    <w:rsid w:val="00B92093"/>
    <w:rsid w:val="00B92DE5"/>
    <w:rsid w:val="00B93898"/>
    <w:rsid w:val="00B97138"/>
    <w:rsid w:val="00BA3C39"/>
    <w:rsid w:val="00BA6628"/>
    <w:rsid w:val="00BA69A7"/>
    <w:rsid w:val="00BA6E1B"/>
    <w:rsid w:val="00BB0BEB"/>
    <w:rsid w:val="00BB11C5"/>
    <w:rsid w:val="00BB4B0F"/>
    <w:rsid w:val="00BB6AD4"/>
    <w:rsid w:val="00BD50F1"/>
    <w:rsid w:val="00BD6F1E"/>
    <w:rsid w:val="00BE20F7"/>
    <w:rsid w:val="00BE74CE"/>
    <w:rsid w:val="00BE7A4F"/>
    <w:rsid w:val="00BF054D"/>
    <w:rsid w:val="00BF223B"/>
    <w:rsid w:val="00BF24F9"/>
    <w:rsid w:val="00BF6872"/>
    <w:rsid w:val="00C0065A"/>
    <w:rsid w:val="00C11FBE"/>
    <w:rsid w:val="00C14FF4"/>
    <w:rsid w:val="00C15AE8"/>
    <w:rsid w:val="00C15E23"/>
    <w:rsid w:val="00C3166F"/>
    <w:rsid w:val="00C319D8"/>
    <w:rsid w:val="00C35485"/>
    <w:rsid w:val="00C35E60"/>
    <w:rsid w:val="00C4078B"/>
    <w:rsid w:val="00C42C1F"/>
    <w:rsid w:val="00C42CCA"/>
    <w:rsid w:val="00C53DA7"/>
    <w:rsid w:val="00C60D64"/>
    <w:rsid w:val="00C65CC8"/>
    <w:rsid w:val="00C70431"/>
    <w:rsid w:val="00C72DD1"/>
    <w:rsid w:val="00C81FF5"/>
    <w:rsid w:val="00C834DE"/>
    <w:rsid w:val="00C8480A"/>
    <w:rsid w:val="00C86312"/>
    <w:rsid w:val="00C900BB"/>
    <w:rsid w:val="00C90AB7"/>
    <w:rsid w:val="00C963AC"/>
    <w:rsid w:val="00C97C9F"/>
    <w:rsid w:val="00CA2F96"/>
    <w:rsid w:val="00CA4DA4"/>
    <w:rsid w:val="00CA4DDB"/>
    <w:rsid w:val="00CA7883"/>
    <w:rsid w:val="00CB527D"/>
    <w:rsid w:val="00CB57E1"/>
    <w:rsid w:val="00CC1A72"/>
    <w:rsid w:val="00CD1E1A"/>
    <w:rsid w:val="00CD7384"/>
    <w:rsid w:val="00CE29FB"/>
    <w:rsid w:val="00CE6298"/>
    <w:rsid w:val="00CF2577"/>
    <w:rsid w:val="00CF55D4"/>
    <w:rsid w:val="00CF5E3D"/>
    <w:rsid w:val="00CF79D4"/>
    <w:rsid w:val="00D00293"/>
    <w:rsid w:val="00D006AA"/>
    <w:rsid w:val="00D022D7"/>
    <w:rsid w:val="00D029CA"/>
    <w:rsid w:val="00D034AE"/>
    <w:rsid w:val="00D040B0"/>
    <w:rsid w:val="00D06858"/>
    <w:rsid w:val="00D07328"/>
    <w:rsid w:val="00D13276"/>
    <w:rsid w:val="00D147F6"/>
    <w:rsid w:val="00D16DAA"/>
    <w:rsid w:val="00D2182A"/>
    <w:rsid w:val="00D23793"/>
    <w:rsid w:val="00D23C48"/>
    <w:rsid w:val="00D25358"/>
    <w:rsid w:val="00D308AD"/>
    <w:rsid w:val="00D369F7"/>
    <w:rsid w:val="00D43C00"/>
    <w:rsid w:val="00D43E92"/>
    <w:rsid w:val="00D54767"/>
    <w:rsid w:val="00D61E2E"/>
    <w:rsid w:val="00D6490B"/>
    <w:rsid w:val="00D70404"/>
    <w:rsid w:val="00D71199"/>
    <w:rsid w:val="00D73005"/>
    <w:rsid w:val="00D90437"/>
    <w:rsid w:val="00D91A5C"/>
    <w:rsid w:val="00D94166"/>
    <w:rsid w:val="00DA0E7E"/>
    <w:rsid w:val="00DA4FF6"/>
    <w:rsid w:val="00DB26A8"/>
    <w:rsid w:val="00DB35A7"/>
    <w:rsid w:val="00DB453C"/>
    <w:rsid w:val="00DB4BA5"/>
    <w:rsid w:val="00DB5562"/>
    <w:rsid w:val="00DB58E5"/>
    <w:rsid w:val="00DB7EF8"/>
    <w:rsid w:val="00DC0714"/>
    <w:rsid w:val="00DC314F"/>
    <w:rsid w:val="00DC46D8"/>
    <w:rsid w:val="00DD0810"/>
    <w:rsid w:val="00DD232A"/>
    <w:rsid w:val="00DD3941"/>
    <w:rsid w:val="00DD55D7"/>
    <w:rsid w:val="00DE5F09"/>
    <w:rsid w:val="00E03006"/>
    <w:rsid w:val="00E03463"/>
    <w:rsid w:val="00E04A99"/>
    <w:rsid w:val="00E064C3"/>
    <w:rsid w:val="00E13791"/>
    <w:rsid w:val="00E14403"/>
    <w:rsid w:val="00E17558"/>
    <w:rsid w:val="00E211FC"/>
    <w:rsid w:val="00E22100"/>
    <w:rsid w:val="00E244FE"/>
    <w:rsid w:val="00E310DF"/>
    <w:rsid w:val="00E34ACF"/>
    <w:rsid w:val="00E36F60"/>
    <w:rsid w:val="00E4225C"/>
    <w:rsid w:val="00E4380C"/>
    <w:rsid w:val="00E454C0"/>
    <w:rsid w:val="00E4679D"/>
    <w:rsid w:val="00E51960"/>
    <w:rsid w:val="00E5728D"/>
    <w:rsid w:val="00E57C9F"/>
    <w:rsid w:val="00E604D1"/>
    <w:rsid w:val="00E67DF3"/>
    <w:rsid w:val="00E703AB"/>
    <w:rsid w:val="00E723EE"/>
    <w:rsid w:val="00E74E6E"/>
    <w:rsid w:val="00E80323"/>
    <w:rsid w:val="00E8045A"/>
    <w:rsid w:val="00E843D5"/>
    <w:rsid w:val="00E845DE"/>
    <w:rsid w:val="00E86890"/>
    <w:rsid w:val="00E90867"/>
    <w:rsid w:val="00EA371D"/>
    <w:rsid w:val="00EA4F0B"/>
    <w:rsid w:val="00EA572C"/>
    <w:rsid w:val="00EA582D"/>
    <w:rsid w:val="00EB3D61"/>
    <w:rsid w:val="00EB6D71"/>
    <w:rsid w:val="00EC10EB"/>
    <w:rsid w:val="00EC23D7"/>
    <w:rsid w:val="00EC29BD"/>
    <w:rsid w:val="00EC2D60"/>
    <w:rsid w:val="00ED2DB2"/>
    <w:rsid w:val="00ED329D"/>
    <w:rsid w:val="00ED3431"/>
    <w:rsid w:val="00ED4E2C"/>
    <w:rsid w:val="00ED6238"/>
    <w:rsid w:val="00EE407D"/>
    <w:rsid w:val="00EF13CC"/>
    <w:rsid w:val="00EF2B5D"/>
    <w:rsid w:val="00F01638"/>
    <w:rsid w:val="00F0682F"/>
    <w:rsid w:val="00F13D5C"/>
    <w:rsid w:val="00F14E8A"/>
    <w:rsid w:val="00F158E3"/>
    <w:rsid w:val="00F17BA4"/>
    <w:rsid w:val="00F231EC"/>
    <w:rsid w:val="00F344B6"/>
    <w:rsid w:val="00F3692F"/>
    <w:rsid w:val="00F37BFD"/>
    <w:rsid w:val="00F50CAC"/>
    <w:rsid w:val="00F532C9"/>
    <w:rsid w:val="00F547A3"/>
    <w:rsid w:val="00F60B7F"/>
    <w:rsid w:val="00F678FE"/>
    <w:rsid w:val="00F700A6"/>
    <w:rsid w:val="00F73BF8"/>
    <w:rsid w:val="00F76862"/>
    <w:rsid w:val="00F816DB"/>
    <w:rsid w:val="00F9313D"/>
    <w:rsid w:val="00F95C6E"/>
    <w:rsid w:val="00F96039"/>
    <w:rsid w:val="00F97664"/>
    <w:rsid w:val="00F97729"/>
    <w:rsid w:val="00F97FE9"/>
    <w:rsid w:val="00FA4901"/>
    <w:rsid w:val="00FA5B61"/>
    <w:rsid w:val="00FB266F"/>
    <w:rsid w:val="00FC0A56"/>
    <w:rsid w:val="00FC3A34"/>
    <w:rsid w:val="00FC43FA"/>
    <w:rsid w:val="00FD39D7"/>
    <w:rsid w:val="00FD7603"/>
    <w:rsid w:val="00FF01D9"/>
    <w:rsid w:val="00FF4B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A863F"/>
  <w15:docId w15:val="{D30012CE-2824-4D9A-A4EF-3C0A494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23"/>
  </w:style>
  <w:style w:type="paragraph" w:styleId="Heading1">
    <w:name w:val="heading 1"/>
    <w:basedOn w:val="Normal"/>
    <w:next w:val="Normal"/>
    <w:link w:val="Heading1Char"/>
    <w:qFormat/>
    <w:rsid w:val="00180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4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29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5C5A88"/>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504BE5"/>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504BE5"/>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504BE5"/>
    <w:rPr>
      <w:vertAlign w:val="superscript"/>
    </w:rPr>
  </w:style>
  <w:style w:type="character" w:styleId="CommentReference">
    <w:name w:val="annotation reference"/>
    <w:basedOn w:val="DefaultParagraphFont"/>
    <w:uiPriority w:val="99"/>
    <w:unhideWhenUsed/>
    <w:rsid w:val="00340FF3"/>
    <w:rPr>
      <w:sz w:val="16"/>
      <w:szCs w:val="16"/>
    </w:rPr>
  </w:style>
  <w:style w:type="paragraph" w:styleId="CommentText">
    <w:name w:val="annotation text"/>
    <w:basedOn w:val="Normal"/>
    <w:link w:val="CommentTextChar"/>
    <w:uiPriority w:val="99"/>
    <w:unhideWhenUsed/>
    <w:rsid w:val="00340FF3"/>
    <w:pPr>
      <w:spacing w:line="240" w:lineRule="auto"/>
    </w:pPr>
    <w:rPr>
      <w:sz w:val="20"/>
      <w:szCs w:val="20"/>
    </w:rPr>
  </w:style>
  <w:style w:type="character" w:customStyle="1" w:styleId="CommentTextChar">
    <w:name w:val="Comment Text Char"/>
    <w:basedOn w:val="DefaultParagraphFont"/>
    <w:link w:val="CommentText"/>
    <w:uiPriority w:val="99"/>
    <w:rsid w:val="00340FF3"/>
    <w:rPr>
      <w:sz w:val="20"/>
      <w:szCs w:val="20"/>
    </w:rPr>
  </w:style>
  <w:style w:type="paragraph" w:styleId="CommentSubject">
    <w:name w:val="annotation subject"/>
    <w:basedOn w:val="CommentText"/>
    <w:next w:val="CommentText"/>
    <w:link w:val="CommentSubjectChar"/>
    <w:uiPriority w:val="99"/>
    <w:semiHidden/>
    <w:unhideWhenUsed/>
    <w:rsid w:val="00340FF3"/>
    <w:rPr>
      <w:b/>
      <w:bCs/>
    </w:rPr>
  </w:style>
  <w:style w:type="character" w:customStyle="1" w:styleId="CommentSubjectChar">
    <w:name w:val="Comment Subject Char"/>
    <w:basedOn w:val="CommentTextChar"/>
    <w:link w:val="CommentSubject"/>
    <w:uiPriority w:val="99"/>
    <w:semiHidden/>
    <w:rsid w:val="00340FF3"/>
    <w:rPr>
      <w:b/>
      <w:bCs/>
      <w:sz w:val="20"/>
      <w:szCs w:val="20"/>
    </w:rPr>
  </w:style>
  <w:style w:type="paragraph" w:styleId="BalloonText">
    <w:name w:val="Balloon Text"/>
    <w:basedOn w:val="Normal"/>
    <w:link w:val="BalloonTextChar"/>
    <w:uiPriority w:val="99"/>
    <w:semiHidden/>
    <w:unhideWhenUsed/>
    <w:rsid w:val="00340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3"/>
    <w:rPr>
      <w:rFonts w:ascii="Segoe UI" w:hAnsi="Segoe UI" w:cs="Segoe UI"/>
      <w:sz w:val="18"/>
      <w:szCs w:val="18"/>
    </w:rPr>
  </w:style>
  <w:style w:type="character" w:styleId="Hyperlink">
    <w:name w:val="Hyperlink"/>
    <w:basedOn w:val="DefaultParagraphFont"/>
    <w:unhideWhenUsed/>
    <w:rsid w:val="00A4576E"/>
    <w:rPr>
      <w:color w:val="0563C1" w:themeColor="hyperlink"/>
      <w:u w:val="single"/>
    </w:rPr>
  </w:style>
  <w:style w:type="paragraph" w:styleId="NoSpacing">
    <w:name w:val="No Spacing"/>
    <w:uiPriority w:val="1"/>
    <w:qFormat/>
    <w:rsid w:val="00DB58E5"/>
    <w:pPr>
      <w:spacing w:after="0" w:line="240" w:lineRule="auto"/>
    </w:pPr>
    <w:rPr>
      <w:rFonts w:ascii="Calibri" w:eastAsia="ヒラギノ角ゴ Pro W3" w:hAnsi="Calibri" w:cs="Times New Roman"/>
      <w:color w:val="000000"/>
      <w:szCs w:val="24"/>
    </w:rPr>
  </w:style>
  <w:style w:type="paragraph" w:customStyle="1" w:styleId="Default">
    <w:name w:val="Default"/>
    <w:rsid w:val="0018513E"/>
    <w:pPr>
      <w:autoSpaceDE w:val="0"/>
      <w:autoSpaceDN w:val="0"/>
      <w:adjustRightInd w:val="0"/>
      <w:spacing w:after="0" w:line="240" w:lineRule="auto"/>
    </w:pPr>
    <w:rPr>
      <w:rFonts w:ascii="NewsGoth Cn TL" w:hAnsi="NewsGoth Cn TL" w:cs="NewsGoth Cn TL"/>
      <w:color w:val="000000"/>
      <w:sz w:val="24"/>
      <w:szCs w:val="24"/>
    </w:rPr>
  </w:style>
  <w:style w:type="character" w:customStyle="1" w:styleId="StyleArial">
    <w:name w:val="Style Arial"/>
    <w:basedOn w:val="DefaultParagraphFont"/>
    <w:uiPriority w:val="99"/>
    <w:rsid w:val="00AF2163"/>
    <w:rPr>
      <w:rFonts w:ascii="Arial" w:hAnsi="Arial" w:cs="Arial"/>
      <w:sz w:val="20"/>
    </w:rPr>
  </w:style>
  <w:style w:type="paragraph" w:styleId="Header">
    <w:name w:val="header"/>
    <w:basedOn w:val="Normal"/>
    <w:link w:val="HeaderChar"/>
    <w:uiPriority w:val="99"/>
    <w:unhideWhenUsed/>
    <w:rsid w:val="00AF63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63A5"/>
  </w:style>
  <w:style w:type="paragraph" w:styleId="Footer">
    <w:name w:val="footer"/>
    <w:basedOn w:val="Normal"/>
    <w:link w:val="FooterChar"/>
    <w:unhideWhenUsed/>
    <w:rsid w:val="00AF63A5"/>
    <w:pPr>
      <w:tabs>
        <w:tab w:val="center" w:pos="4153"/>
        <w:tab w:val="right" w:pos="8306"/>
      </w:tabs>
      <w:spacing w:after="0" w:line="240" w:lineRule="auto"/>
    </w:pPr>
  </w:style>
  <w:style w:type="character" w:customStyle="1" w:styleId="FooterChar">
    <w:name w:val="Footer Char"/>
    <w:basedOn w:val="DefaultParagraphFont"/>
    <w:link w:val="Footer"/>
    <w:rsid w:val="00AF63A5"/>
  </w:style>
  <w:style w:type="character" w:styleId="FollowedHyperlink">
    <w:name w:val="FollowedHyperlink"/>
    <w:basedOn w:val="DefaultParagraphFont"/>
    <w:uiPriority w:val="99"/>
    <w:semiHidden/>
    <w:unhideWhenUsed/>
    <w:rsid w:val="0053061A"/>
    <w:rPr>
      <w:color w:val="954F72" w:themeColor="followedHyperlink"/>
      <w:u w:val="single"/>
    </w:rPr>
  </w:style>
  <w:style w:type="paragraph" w:customStyle="1" w:styleId="tv2132">
    <w:name w:val="tv2132"/>
    <w:basedOn w:val="Normal"/>
    <w:rsid w:val="002C71CA"/>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ListParagraphChar">
    <w:name w:val="List Paragraph Char"/>
    <w:aliases w:val="H&amp;P List Paragraph Char,2 Char,Strip Char"/>
    <w:link w:val="ListParagraph"/>
    <w:uiPriority w:val="34"/>
    <w:locked/>
    <w:rsid w:val="005D3D62"/>
  </w:style>
  <w:style w:type="character" w:customStyle="1" w:styleId="Heading1Char">
    <w:name w:val="Heading 1 Char"/>
    <w:basedOn w:val="DefaultParagraphFont"/>
    <w:link w:val="Heading1"/>
    <w:rsid w:val="00180F8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44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0293"/>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DC314F"/>
    <w:pPr>
      <w:outlineLvl w:val="9"/>
    </w:pPr>
    <w:rPr>
      <w:lang w:val="en-US"/>
    </w:rPr>
  </w:style>
  <w:style w:type="paragraph" w:styleId="TOC1">
    <w:name w:val="toc 1"/>
    <w:basedOn w:val="Normal"/>
    <w:next w:val="Normal"/>
    <w:autoRedefine/>
    <w:uiPriority w:val="39"/>
    <w:unhideWhenUsed/>
    <w:rsid w:val="00DC314F"/>
    <w:pPr>
      <w:spacing w:after="100"/>
    </w:pPr>
  </w:style>
  <w:style w:type="paragraph" w:styleId="TOC2">
    <w:name w:val="toc 2"/>
    <w:basedOn w:val="Normal"/>
    <w:next w:val="Normal"/>
    <w:autoRedefine/>
    <w:uiPriority w:val="39"/>
    <w:unhideWhenUsed/>
    <w:rsid w:val="00DC314F"/>
    <w:pPr>
      <w:spacing w:after="100"/>
      <w:ind w:left="220"/>
    </w:pPr>
  </w:style>
  <w:style w:type="paragraph" w:styleId="TOC3">
    <w:name w:val="toc 3"/>
    <w:basedOn w:val="Normal"/>
    <w:next w:val="Normal"/>
    <w:autoRedefine/>
    <w:uiPriority w:val="39"/>
    <w:unhideWhenUsed/>
    <w:rsid w:val="00DC314F"/>
    <w:pPr>
      <w:spacing w:after="100"/>
      <w:ind w:left="440"/>
    </w:pPr>
  </w:style>
  <w:style w:type="numbering" w:customStyle="1" w:styleId="NoList1">
    <w:name w:val="No List1"/>
    <w:next w:val="NoList"/>
    <w:uiPriority w:val="99"/>
    <w:semiHidden/>
    <w:unhideWhenUsed/>
    <w:rsid w:val="00D54767"/>
  </w:style>
  <w:style w:type="character" w:styleId="BookTitle">
    <w:name w:val="Book Title"/>
    <w:qFormat/>
    <w:rsid w:val="00D54767"/>
    <w:rPr>
      <w:b/>
      <w:bCs/>
      <w:smallCaps/>
      <w:spacing w:val="5"/>
    </w:rPr>
  </w:style>
  <w:style w:type="character" w:customStyle="1" w:styleId="tvhtml">
    <w:name w:val="tv_html"/>
    <w:basedOn w:val="DefaultParagraphFont"/>
    <w:rsid w:val="00D54767"/>
  </w:style>
  <w:style w:type="paragraph" w:styleId="Revision">
    <w:name w:val="Revision"/>
    <w:hidden/>
    <w:uiPriority w:val="99"/>
    <w:semiHidden/>
    <w:rsid w:val="00D54767"/>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D54767"/>
    <w:pPr>
      <w:spacing w:after="0" w:line="240" w:lineRule="auto"/>
    </w:pPr>
    <w:rPr>
      <w:rFonts w:ascii="Tahoma" w:eastAsia="ヒラギノ角ゴ Pro W3" w:hAnsi="Tahoma" w:cs="Tahoma"/>
      <w:color w:val="000000"/>
      <w:sz w:val="16"/>
      <w:szCs w:val="16"/>
    </w:rPr>
  </w:style>
  <w:style w:type="character" w:customStyle="1" w:styleId="DocumentMapChar">
    <w:name w:val="Document Map Char"/>
    <w:basedOn w:val="DefaultParagraphFont"/>
    <w:link w:val="DocumentMap"/>
    <w:uiPriority w:val="99"/>
    <w:semiHidden/>
    <w:rsid w:val="00D54767"/>
    <w:rPr>
      <w:rFonts w:ascii="Tahoma" w:eastAsia="ヒラギノ角ゴ Pro W3" w:hAnsi="Tahoma" w:cs="Tahoma"/>
      <w:color w:val="000000"/>
      <w:sz w:val="16"/>
      <w:szCs w:val="16"/>
    </w:rPr>
  </w:style>
  <w:style w:type="paragraph" w:customStyle="1" w:styleId="Rakstz">
    <w:name w:val="Rakstz."/>
    <w:basedOn w:val="Normal"/>
    <w:rsid w:val="00D54767"/>
    <w:pPr>
      <w:spacing w:line="240" w:lineRule="exact"/>
    </w:pPr>
    <w:rPr>
      <w:rFonts w:ascii="Tahoma" w:eastAsia="Times New Roman" w:hAnsi="Tahoma" w:cs="Times New Roman"/>
      <w:sz w:val="20"/>
      <w:szCs w:val="20"/>
      <w:lang w:val="en-US"/>
    </w:rPr>
  </w:style>
  <w:style w:type="character" w:customStyle="1" w:styleId="NoteikumutekstamRakstz">
    <w:name w:val="Noteikumu tekstam Rakstz."/>
    <w:basedOn w:val="DefaultParagraphFont"/>
    <w:link w:val="Noteikumutekstam"/>
    <w:locked/>
    <w:rsid w:val="00D54767"/>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D54767"/>
    <w:pPr>
      <w:tabs>
        <w:tab w:val="left" w:pos="720"/>
      </w:tabs>
      <w:spacing w:after="120" w:line="240" w:lineRule="auto"/>
      <w:jc w:val="both"/>
    </w:pPr>
    <w:rPr>
      <w:rFonts w:ascii="Times New Roman" w:eastAsia="Times New Roman" w:hAnsi="Times New Roman"/>
      <w:sz w:val="24"/>
      <w:szCs w:val="24"/>
    </w:rPr>
  </w:style>
  <w:style w:type="paragraph" w:styleId="NormalWeb">
    <w:name w:val="Normal (Web)"/>
    <w:basedOn w:val="Normal"/>
    <w:rsid w:val="00D5476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D54767"/>
    <w:rPr>
      <w:b/>
      <w:bCs/>
      <w:i w:val="0"/>
      <w:iCs w:val="0"/>
    </w:rPr>
  </w:style>
  <w:style w:type="paragraph" w:customStyle="1" w:styleId="normal2">
    <w:name w:val="normal2"/>
    <w:basedOn w:val="Normal"/>
    <w:rsid w:val="00D54767"/>
    <w:pPr>
      <w:spacing w:before="120" w:after="0" w:line="312" w:lineRule="atLeast"/>
      <w:jc w:val="both"/>
    </w:pPr>
    <w:rPr>
      <w:rFonts w:ascii="Times New Roman" w:eastAsia="Times New Roman" w:hAnsi="Times New Roman" w:cs="Times New Roman"/>
      <w:sz w:val="24"/>
      <w:szCs w:val="24"/>
      <w:lang w:eastAsia="lv-LV"/>
    </w:rPr>
  </w:style>
  <w:style w:type="character" w:customStyle="1" w:styleId="cspklasifikatorscodename">
    <w:name w:val="csp_klasifikators_code_name"/>
    <w:basedOn w:val="DefaultParagraphFont"/>
    <w:rsid w:val="00D54767"/>
  </w:style>
  <w:style w:type="character" w:styleId="PlaceholderText">
    <w:name w:val="Placeholder Text"/>
    <w:basedOn w:val="DefaultParagraphFont"/>
    <w:uiPriority w:val="99"/>
    <w:semiHidden/>
    <w:rsid w:val="00D54767"/>
    <w:rPr>
      <w:color w:val="808080"/>
    </w:rPr>
  </w:style>
  <w:style w:type="paragraph" w:styleId="EndnoteText">
    <w:name w:val="endnote text"/>
    <w:basedOn w:val="Normal"/>
    <w:link w:val="EndnoteTextChar"/>
    <w:uiPriority w:val="99"/>
    <w:semiHidden/>
    <w:unhideWhenUsed/>
    <w:rsid w:val="00D54767"/>
    <w:pPr>
      <w:spacing w:after="0" w:line="240" w:lineRule="auto"/>
    </w:pPr>
    <w:rPr>
      <w:rFonts w:ascii="Calibri" w:eastAsia="ヒラギノ角ゴ Pro W3" w:hAnsi="Calibri" w:cs="Times New Roman"/>
      <w:color w:val="000000"/>
      <w:sz w:val="20"/>
      <w:szCs w:val="20"/>
    </w:rPr>
  </w:style>
  <w:style w:type="character" w:customStyle="1" w:styleId="EndnoteTextChar">
    <w:name w:val="Endnote Text Char"/>
    <w:basedOn w:val="DefaultParagraphFont"/>
    <w:link w:val="EndnoteText"/>
    <w:uiPriority w:val="99"/>
    <w:semiHidden/>
    <w:rsid w:val="00D54767"/>
    <w:rPr>
      <w:rFonts w:ascii="Calibri" w:eastAsia="ヒラギノ角ゴ Pro W3" w:hAnsi="Calibri" w:cs="Times New Roman"/>
      <w:color w:val="000000"/>
      <w:sz w:val="20"/>
      <w:szCs w:val="20"/>
    </w:rPr>
  </w:style>
  <w:style w:type="character" w:styleId="EndnoteReference">
    <w:name w:val="endnote reference"/>
    <w:basedOn w:val="DefaultParagraphFont"/>
    <w:uiPriority w:val="99"/>
    <w:semiHidden/>
    <w:unhideWhenUsed/>
    <w:rsid w:val="00D54767"/>
    <w:rPr>
      <w:vertAlign w:val="superscript"/>
    </w:rPr>
  </w:style>
  <w:style w:type="paragraph" w:styleId="ListBullet">
    <w:name w:val="List Bullet"/>
    <w:basedOn w:val="Normal"/>
    <w:uiPriority w:val="99"/>
    <w:unhideWhenUsed/>
    <w:rsid w:val="00D54767"/>
    <w:pPr>
      <w:numPr>
        <w:numId w:val="1"/>
      </w:numPr>
      <w:spacing w:after="200" w:line="276" w:lineRule="auto"/>
      <w:contextualSpacing/>
    </w:pPr>
    <w:rPr>
      <w:rFonts w:ascii="Calibri" w:eastAsia="ヒラギノ角ゴ Pro W3" w:hAnsi="Calibri"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5778">
      <w:bodyDiv w:val="1"/>
      <w:marLeft w:val="0"/>
      <w:marRight w:val="0"/>
      <w:marTop w:val="0"/>
      <w:marBottom w:val="0"/>
      <w:divBdr>
        <w:top w:val="none" w:sz="0" w:space="0" w:color="auto"/>
        <w:left w:val="none" w:sz="0" w:space="0" w:color="auto"/>
        <w:bottom w:val="none" w:sz="0" w:space="0" w:color="auto"/>
        <w:right w:val="none" w:sz="0" w:space="0" w:color="auto"/>
      </w:divBdr>
    </w:div>
    <w:div w:id="1031882155">
      <w:bodyDiv w:val="1"/>
      <w:marLeft w:val="0"/>
      <w:marRight w:val="0"/>
      <w:marTop w:val="0"/>
      <w:marBottom w:val="0"/>
      <w:divBdr>
        <w:top w:val="none" w:sz="0" w:space="0" w:color="auto"/>
        <w:left w:val="none" w:sz="0" w:space="0" w:color="auto"/>
        <w:bottom w:val="none" w:sz="0" w:space="0" w:color="auto"/>
        <w:right w:val="none" w:sz="0" w:space="0" w:color="auto"/>
      </w:divBdr>
      <w:divsChild>
        <w:div w:id="1688797436">
          <w:marLeft w:val="0"/>
          <w:marRight w:val="0"/>
          <w:marTop w:val="0"/>
          <w:marBottom w:val="0"/>
          <w:divBdr>
            <w:top w:val="none" w:sz="0" w:space="0" w:color="auto"/>
            <w:left w:val="none" w:sz="0" w:space="0" w:color="auto"/>
            <w:bottom w:val="none" w:sz="0" w:space="0" w:color="auto"/>
            <w:right w:val="none" w:sz="0" w:space="0" w:color="auto"/>
          </w:divBdr>
          <w:divsChild>
            <w:div w:id="1491559914">
              <w:marLeft w:val="0"/>
              <w:marRight w:val="0"/>
              <w:marTop w:val="0"/>
              <w:marBottom w:val="0"/>
              <w:divBdr>
                <w:top w:val="none" w:sz="0" w:space="0" w:color="auto"/>
                <w:left w:val="none" w:sz="0" w:space="0" w:color="auto"/>
                <w:bottom w:val="none" w:sz="0" w:space="0" w:color="auto"/>
                <w:right w:val="none" w:sz="0" w:space="0" w:color="auto"/>
              </w:divBdr>
              <w:divsChild>
                <w:div w:id="1269854358">
                  <w:marLeft w:val="0"/>
                  <w:marRight w:val="0"/>
                  <w:marTop w:val="0"/>
                  <w:marBottom w:val="0"/>
                  <w:divBdr>
                    <w:top w:val="none" w:sz="0" w:space="0" w:color="auto"/>
                    <w:left w:val="none" w:sz="0" w:space="0" w:color="auto"/>
                    <w:bottom w:val="none" w:sz="0" w:space="0" w:color="auto"/>
                    <w:right w:val="none" w:sz="0" w:space="0" w:color="auto"/>
                  </w:divBdr>
                  <w:divsChild>
                    <w:div w:id="507452450">
                      <w:marLeft w:val="0"/>
                      <w:marRight w:val="0"/>
                      <w:marTop w:val="0"/>
                      <w:marBottom w:val="0"/>
                      <w:divBdr>
                        <w:top w:val="none" w:sz="0" w:space="0" w:color="auto"/>
                        <w:left w:val="none" w:sz="0" w:space="0" w:color="auto"/>
                        <w:bottom w:val="none" w:sz="0" w:space="0" w:color="auto"/>
                        <w:right w:val="none" w:sz="0" w:space="0" w:color="auto"/>
                      </w:divBdr>
                      <w:divsChild>
                        <w:div w:id="530072594">
                          <w:marLeft w:val="0"/>
                          <w:marRight w:val="0"/>
                          <w:marTop w:val="0"/>
                          <w:marBottom w:val="0"/>
                          <w:divBdr>
                            <w:top w:val="none" w:sz="0" w:space="0" w:color="auto"/>
                            <w:left w:val="none" w:sz="0" w:space="0" w:color="auto"/>
                            <w:bottom w:val="none" w:sz="0" w:space="0" w:color="auto"/>
                            <w:right w:val="none" w:sz="0" w:space="0" w:color="auto"/>
                          </w:divBdr>
                          <w:divsChild>
                            <w:div w:id="94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7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38CF4-3729-4901-8336-11F0E0E6C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EED6417D</Template>
  <TotalTime>1</TotalTime>
  <Pages>5</Pages>
  <Words>6557</Words>
  <Characters>3739</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10276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Germa</dc:creator>
  <cp:lastModifiedBy>Kristīne Šmite</cp:lastModifiedBy>
  <cp:revision>2</cp:revision>
  <cp:lastPrinted>2016-06-16T11:26:00Z</cp:lastPrinted>
  <dcterms:created xsi:type="dcterms:W3CDTF">2017-06-27T14:31:00Z</dcterms:created>
  <dcterms:modified xsi:type="dcterms:W3CDTF">2017-06-27T14:31:00Z</dcterms:modified>
</cp:coreProperties>
</file>