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48C" w:rsidRDefault="000C248C" w:rsidP="000C248C">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0C248C" w:rsidRDefault="000C248C" w:rsidP="000C248C">
      <w:pPr>
        <w:rPr>
          <w:rFonts w:ascii="Times New Roman" w:hAnsi="Times New Roman"/>
          <w:color w:val="1F497D"/>
          <w:sz w:val="24"/>
          <w:szCs w:val="24"/>
        </w:rPr>
      </w:pPr>
    </w:p>
    <w:p w:rsidR="007C1098" w:rsidRDefault="007C1098"/>
    <w:p w:rsidR="00680FD8" w:rsidRPr="00AC1E14" w:rsidRDefault="00680FD8" w:rsidP="00680FD8">
      <w:pPr>
        <w:pStyle w:val="ListParagraph"/>
        <w:numPr>
          <w:ilvl w:val="0"/>
          <w:numId w:val="1"/>
        </w:numPr>
        <w:rPr>
          <w:rFonts w:asciiTheme="minorHAnsi" w:hAnsiTheme="minorHAnsi"/>
        </w:rPr>
      </w:pPr>
      <w:r w:rsidRPr="00AC1E14">
        <w:rPr>
          <w:rFonts w:asciiTheme="minorHAnsi" w:hAnsiTheme="minorHAnsi"/>
        </w:rPr>
        <w:t xml:space="preserve">Vai būs pareizi, ja norādīsim –“ projektā finansējuma saņēmējs nesaņem valsts atbalstu, bet ir valsts atbalsta, t.sk., </w:t>
      </w:r>
      <w:proofErr w:type="spellStart"/>
      <w:r w:rsidRPr="00AC1E14">
        <w:rPr>
          <w:rFonts w:asciiTheme="minorHAnsi" w:hAnsiTheme="minorHAnsi"/>
        </w:rPr>
        <w:t>de</w:t>
      </w:r>
      <w:proofErr w:type="spellEnd"/>
      <w:r w:rsidRPr="00AC1E14">
        <w:rPr>
          <w:rFonts w:asciiTheme="minorHAnsi" w:hAnsiTheme="minorHAnsi"/>
        </w:rPr>
        <w:t xml:space="preserve"> </w:t>
      </w:r>
      <w:proofErr w:type="spellStart"/>
      <w:r w:rsidRPr="00AC1E14">
        <w:rPr>
          <w:rFonts w:asciiTheme="minorHAnsi" w:hAnsiTheme="minorHAnsi"/>
        </w:rPr>
        <w:t>minimis</w:t>
      </w:r>
      <w:proofErr w:type="spellEnd"/>
      <w:r w:rsidRPr="00AC1E14">
        <w:rPr>
          <w:rFonts w:asciiTheme="minorHAnsi" w:hAnsiTheme="minorHAnsi"/>
        </w:rPr>
        <w:t xml:space="preserve"> atbalsta sniedzējs” (projekta vadītāji tiks iepirkti atbilstoši </w:t>
      </w:r>
      <w:proofErr w:type="spellStart"/>
      <w:r w:rsidRPr="00AC1E14">
        <w:rPr>
          <w:rFonts w:asciiTheme="minorHAnsi" w:hAnsiTheme="minorHAnsi"/>
        </w:rPr>
        <w:t>norm.aktiem</w:t>
      </w:r>
      <w:proofErr w:type="spellEnd"/>
      <w:r w:rsidRPr="00AC1E14">
        <w:rPr>
          <w:rFonts w:asciiTheme="minorHAnsi" w:hAnsiTheme="minorHAnsi"/>
        </w:rPr>
        <w:t>, bet grāmatvedības pakalpojumus nodrošinās projekta iesniedzēja grāmatvedis ).</w:t>
      </w:r>
    </w:p>
    <w:p w:rsidR="00680FD8" w:rsidRPr="00AC1E14" w:rsidRDefault="00680FD8" w:rsidP="00680FD8">
      <w:pPr>
        <w:pStyle w:val="ListParagraph"/>
        <w:rPr>
          <w:rFonts w:asciiTheme="minorHAnsi" w:hAnsiTheme="minorHAnsi"/>
          <w:color w:val="1F497D"/>
        </w:rPr>
      </w:pPr>
    </w:p>
    <w:p w:rsidR="00680FD8" w:rsidRPr="00AC1E14" w:rsidRDefault="00680FD8" w:rsidP="00680FD8">
      <w:pPr>
        <w:rPr>
          <w:rFonts w:asciiTheme="minorHAnsi" w:hAnsiTheme="minorHAnsi"/>
        </w:rPr>
      </w:pPr>
      <w:r w:rsidRPr="00AC1E14">
        <w:rPr>
          <w:rFonts w:asciiTheme="minorHAnsi" w:hAnsiTheme="minorHAnsi"/>
          <w:b/>
        </w:rPr>
        <w:t>Atbilde:</w:t>
      </w:r>
      <w:r w:rsidRPr="00AC1E14">
        <w:rPr>
          <w:rFonts w:asciiTheme="minorHAnsi" w:hAnsiTheme="minorHAnsi"/>
        </w:rPr>
        <w:t xml:space="preserve"> Ja projekta grāmatvedību nodrošinās projekta iesniedzēja darbinieks un šīs izmaksas plānots iekļaut attiecināmajās izmaksās, tad tas būs </w:t>
      </w:r>
      <w:proofErr w:type="spellStart"/>
      <w:r w:rsidRPr="00AC1E14">
        <w:rPr>
          <w:rFonts w:asciiTheme="minorHAnsi" w:hAnsiTheme="minorHAnsi"/>
        </w:rPr>
        <w:t>de</w:t>
      </w:r>
      <w:proofErr w:type="spellEnd"/>
      <w:r w:rsidRPr="00AC1E14">
        <w:rPr>
          <w:rFonts w:asciiTheme="minorHAnsi" w:hAnsiTheme="minorHAnsi"/>
        </w:rPr>
        <w:t xml:space="preserve"> </w:t>
      </w:r>
      <w:proofErr w:type="spellStart"/>
      <w:r w:rsidRPr="00AC1E14">
        <w:rPr>
          <w:rFonts w:asciiTheme="minorHAnsi" w:hAnsiTheme="minorHAnsi"/>
        </w:rPr>
        <w:t>minimis</w:t>
      </w:r>
      <w:proofErr w:type="spellEnd"/>
      <w:r w:rsidRPr="00AC1E14">
        <w:rPr>
          <w:rFonts w:asciiTheme="minorHAnsi" w:hAnsiTheme="minorHAnsi"/>
        </w:rPr>
        <w:t xml:space="preserve"> atbalsts un 7.1. jānorāda:</w:t>
      </w:r>
    </w:p>
    <w:p w:rsidR="00680FD8" w:rsidRPr="00AC1E14" w:rsidRDefault="00680FD8" w:rsidP="00680FD8">
      <w:pPr>
        <w:rPr>
          <w:rFonts w:asciiTheme="minorHAnsi" w:hAnsiTheme="minorHAnsi"/>
        </w:rPr>
      </w:pPr>
      <w:r w:rsidRPr="00AC1E14">
        <w:rPr>
          <w:rFonts w:asciiTheme="minorHAnsi" w:hAnsiTheme="minorHAnsi"/>
          <w:bCs/>
          <w:i/>
          <w:iCs/>
        </w:rPr>
        <w:t xml:space="preserve">„projektā finansējuma saņēmējs saņem valsts atbalstu un ir valsts atbalsta, t.sk. </w:t>
      </w:r>
      <w:proofErr w:type="spellStart"/>
      <w:r w:rsidRPr="00AC1E14">
        <w:rPr>
          <w:rFonts w:asciiTheme="minorHAnsi" w:hAnsiTheme="minorHAnsi"/>
          <w:bCs/>
          <w:i/>
          <w:iCs/>
        </w:rPr>
        <w:t>de</w:t>
      </w:r>
      <w:proofErr w:type="spellEnd"/>
      <w:r w:rsidRPr="00AC1E14">
        <w:rPr>
          <w:rFonts w:asciiTheme="minorHAnsi" w:hAnsiTheme="minorHAnsi"/>
          <w:bCs/>
          <w:i/>
          <w:iCs/>
        </w:rPr>
        <w:t xml:space="preserve"> </w:t>
      </w:r>
      <w:proofErr w:type="spellStart"/>
      <w:r w:rsidRPr="00AC1E14">
        <w:rPr>
          <w:rFonts w:asciiTheme="minorHAnsi" w:hAnsiTheme="minorHAnsi"/>
          <w:bCs/>
          <w:i/>
          <w:iCs/>
        </w:rPr>
        <w:t>minimis</w:t>
      </w:r>
      <w:proofErr w:type="spellEnd"/>
      <w:r w:rsidRPr="00AC1E14">
        <w:rPr>
          <w:rFonts w:asciiTheme="minorHAnsi" w:hAnsiTheme="minorHAnsi"/>
          <w:bCs/>
          <w:i/>
          <w:iCs/>
        </w:rPr>
        <w:t xml:space="preserve"> atbalsta sniedzējs”</w:t>
      </w:r>
    </w:p>
    <w:p w:rsidR="00680FD8" w:rsidRPr="00AC1E14" w:rsidRDefault="00680FD8" w:rsidP="00680FD8">
      <w:pPr>
        <w:pStyle w:val="ListParagraph"/>
        <w:rPr>
          <w:rFonts w:asciiTheme="minorHAnsi" w:hAnsiTheme="minorHAnsi"/>
          <w:color w:val="1F497D"/>
        </w:rPr>
      </w:pPr>
    </w:p>
    <w:p w:rsidR="00290933" w:rsidRPr="00C04EC1" w:rsidRDefault="00290933" w:rsidP="00290933">
      <w:pPr>
        <w:pStyle w:val="ListParagraph"/>
        <w:ind w:left="1440"/>
        <w:rPr>
          <w:rFonts w:ascii="Times New Roman" w:hAnsi="Times New Roman"/>
          <w:b/>
          <w:sz w:val="24"/>
          <w:szCs w:val="24"/>
          <w:u w:val="single"/>
        </w:rPr>
      </w:pPr>
      <w:r w:rsidRPr="00AC1E14">
        <w:rPr>
          <w:rFonts w:asciiTheme="minorHAnsi" w:hAnsiTheme="minorHAnsi"/>
          <w:b/>
          <w:u w:val="single"/>
        </w:rPr>
        <w:t>Projektu</w:t>
      </w:r>
      <w:r w:rsidRPr="00C04EC1">
        <w:rPr>
          <w:rFonts w:ascii="Times New Roman" w:hAnsi="Times New Roman"/>
          <w:b/>
          <w:sz w:val="24"/>
          <w:szCs w:val="24"/>
          <w:u w:val="single"/>
        </w:rPr>
        <w:t xml:space="preserve">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0C248C" w:rsidRPr="00680FD8" w:rsidRDefault="000C248C" w:rsidP="00290933">
      <w:pPr>
        <w:pStyle w:val="ListParagraph"/>
        <w:rPr>
          <w:color w:val="1F497D"/>
        </w:rPr>
      </w:pPr>
    </w:p>
    <w:p w:rsidR="00290933" w:rsidRPr="00AC1E14" w:rsidRDefault="002C00D8" w:rsidP="00AC1E14">
      <w:pPr>
        <w:pStyle w:val="ListParagraph"/>
        <w:numPr>
          <w:ilvl w:val="0"/>
          <w:numId w:val="1"/>
        </w:numPr>
        <w:jc w:val="both"/>
      </w:pPr>
      <w:r>
        <w:t>J</w:t>
      </w:r>
      <w:r w:rsidR="00290933" w:rsidRPr="00AC1E14">
        <w:t xml:space="preserve">autājums par atbalsta intensitāti lielajiem uzņēmumiem, kuriem pēdējā pārskata gada peļņa ir lielāka par 5 miljoniem </w:t>
      </w:r>
      <w:proofErr w:type="spellStart"/>
      <w:r w:rsidR="00290933" w:rsidRPr="00AC1E14">
        <w:t>eur</w:t>
      </w:r>
      <w:proofErr w:type="spellEnd"/>
      <w:r w:rsidR="00290933" w:rsidRPr="00AC1E14">
        <w:t xml:space="preserve">. Vai šajā gadījumā peļņas rādītājā jāņem arī vērā saistītie un partnera uzņēmumi? Piemēram, uzņēmums SIA “X”, peļņa </w:t>
      </w:r>
      <w:proofErr w:type="spellStart"/>
      <w:r w:rsidR="00290933" w:rsidRPr="00AC1E14">
        <w:t>Eur</w:t>
      </w:r>
      <w:proofErr w:type="spellEnd"/>
      <w:r w:rsidR="00290933" w:rsidRPr="00AC1E14">
        <w:t xml:space="preserve"> 20 479. Uzņēmums ir meita Vācijas uzņēmumam “Y” Vai Latvijas uzņēmuma peļņai jāskaita klāt mātes uzņēmuma peļņa?</w:t>
      </w:r>
    </w:p>
    <w:p w:rsidR="00290933" w:rsidRPr="00AC1E14" w:rsidRDefault="00290933" w:rsidP="00290933">
      <w:pPr>
        <w:pStyle w:val="ListParagraph"/>
      </w:pPr>
    </w:p>
    <w:p w:rsidR="00290933" w:rsidRPr="00AC1E14" w:rsidRDefault="00290933" w:rsidP="00AC1E14">
      <w:pPr>
        <w:jc w:val="both"/>
      </w:pPr>
      <w:r w:rsidRPr="00AC1E14">
        <w:rPr>
          <w:b/>
        </w:rPr>
        <w:t>Atbilde:</w:t>
      </w:r>
      <w:r w:rsidRPr="00AC1E14">
        <w:t xml:space="preserve"> Nosakot atbalsta intensitāti lielajiem uzņēmumiem ir jāņem vērā MK noteikumu Nr.617 45. un 46.punkts. Ja piemērā norādītais uzņēmums ir lielais komersants, kas atbilsts vienota uzņēmuma definīciju saskaņā ar MK noteikumu Nr.617 46.punktu un peļņā pēdējā pārskata periodā pēc nodokļu nomaksas vienotajam uzņēmumam pārsniedz 5 miljonus eiro, tad meitas uzņēmumam SIA “X” piemērojamā atbalsta intensitāte ir 30%.</w:t>
      </w:r>
    </w:p>
    <w:p w:rsidR="000C248C" w:rsidRDefault="000C248C" w:rsidP="000C248C">
      <w:pPr>
        <w:rPr>
          <w:color w:val="1F497D"/>
        </w:rPr>
      </w:pPr>
    </w:p>
    <w:p w:rsidR="00680FD8" w:rsidRDefault="00680FD8" w:rsidP="000C248C">
      <w:pPr>
        <w:rPr>
          <w:color w:val="1F497D"/>
        </w:rPr>
      </w:pPr>
    </w:p>
    <w:p w:rsidR="00AE7BF2" w:rsidRPr="00AC1E14" w:rsidRDefault="00AE7BF2" w:rsidP="00AC1E14">
      <w:pPr>
        <w:pStyle w:val="ListParagraph"/>
        <w:numPr>
          <w:ilvl w:val="0"/>
          <w:numId w:val="1"/>
        </w:numPr>
        <w:jc w:val="both"/>
        <w:rPr>
          <w:rFonts w:asciiTheme="minorHAnsi" w:hAnsiTheme="minorHAnsi"/>
        </w:rPr>
      </w:pPr>
      <w:r w:rsidRPr="00AC1E14">
        <w:rPr>
          <w:rFonts w:asciiTheme="minorHAnsi" w:hAnsiTheme="minorHAnsi"/>
        </w:rPr>
        <w:t xml:space="preserve">Jautājums: Kādi nosacījumi finansējuma saņēmējam ir jāņem vērā/jāpārbauda piešķirot valsts atbalstu gala labuma guvējam? </w:t>
      </w:r>
    </w:p>
    <w:p w:rsidR="00AE7BF2" w:rsidRPr="00AC1E14" w:rsidRDefault="00AE7BF2" w:rsidP="00AC1E14">
      <w:pPr>
        <w:jc w:val="both"/>
        <w:rPr>
          <w:rFonts w:asciiTheme="minorHAnsi" w:hAnsiTheme="minorHAnsi"/>
        </w:rPr>
      </w:pPr>
    </w:p>
    <w:p w:rsidR="00AE7BF2" w:rsidRPr="00AC1E14" w:rsidRDefault="00AE7BF2" w:rsidP="00AC1E14">
      <w:pPr>
        <w:jc w:val="both"/>
        <w:rPr>
          <w:rFonts w:asciiTheme="minorHAnsi" w:hAnsiTheme="minorHAnsi"/>
        </w:rPr>
      </w:pPr>
      <w:r w:rsidRPr="00AC1E14">
        <w:rPr>
          <w:rFonts w:asciiTheme="minorHAnsi" w:hAnsiTheme="minorHAnsi"/>
          <w:b/>
        </w:rPr>
        <w:t>Atbilde:</w:t>
      </w:r>
      <w:r w:rsidRPr="00AC1E14">
        <w:rPr>
          <w:rFonts w:asciiTheme="minorHAnsi" w:hAnsiTheme="minorHAnsi"/>
        </w:rPr>
        <w:t xml:space="preserve"> Vērtējot valsts atbalsta piešķiršanu gala labuma guvējiem, finansējuma saņēmējam ir jāpārbauda gala labuma guvēja atbilstība šādiem jautājumiem (nosacījumiem):</w:t>
      </w:r>
    </w:p>
    <w:p w:rsidR="00AE7BF2" w:rsidRPr="00AC1E14" w:rsidRDefault="00AE7BF2" w:rsidP="00AC1E14">
      <w:pPr>
        <w:pStyle w:val="ListParagraph"/>
        <w:numPr>
          <w:ilvl w:val="0"/>
          <w:numId w:val="2"/>
        </w:numPr>
        <w:spacing w:after="160" w:line="259" w:lineRule="auto"/>
        <w:jc w:val="both"/>
        <w:rPr>
          <w:rFonts w:asciiTheme="minorHAnsi" w:hAnsiTheme="minorHAnsi"/>
        </w:rPr>
      </w:pPr>
      <w:r w:rsidRPr="00AC1E14">
        <w:rPr>
          <w:rFonts w:asciiTheme="minorHAnsi" w:hAnsiTheme="minorHAnsi"/>
        </w:rPr>
        <w:t xml:space="preserve">Vai valsts atbalsts tiek piešķirts ne ātrāk kā dienā, kad sadarbības iestādē ir saņemts finansējuma saņēmēja projekta iesniegums, un ne vēlāk kā 2018.gada 31.decembrī (MK noteikumu </w:t>
      </w:r>
      <w:hyperlink r:id="rId5" w:anchor="p-567154" w:history="1">
        <w:r w:rsidRPr="00AC1E14">
          <w:rPr>
            <w:rStyle w:val="Hyperlink"/>
            <w:rFonts w:asciiTheme="minorHAnsi" w:hAnsiTheme="minorHAnsi"/>
            <w:color w:val="auto"/>
          </w:rPr>
          <w:t>26</w:t>
        </w:r>
      </w:hyperlink>
      <w:r w:rsidRPr="00AC1E14">
        <w:rPr>
          <w:rFonts w:asciiTheme="minorHAnsi" w:hAnsiTheme="minorHAnsi"/>
        </w:rPr>
        <w:t>.punkts)?</w:t>
      </w:r>
    </w:p>
    <w:p w:rsidR="00AE7BF2" w:rsidRPr="00AC1E14" w:rsidRDefault="00AE7BF2" w:rsidP="00AC1E14">
      <w:pPr>
        <w:pStyle w:val="ListParagraph"/>
        <w:numPr>
          <w:ilvl w:val="0"/>
          <w:numId w:val="2"/>
        </w:numPr>
        <w:spacing w:after="160" w:line="259" w:lineRule="auto"/>
        <w:jc w:val="both"/>
        <w:rPr>
          <w:rFonts w:asciiTheme="minorHAnsi" w:hAnsiTheme="minorHAnsi"/>
        </w:rPr>
      </w:pPr>
      <w:r w:rsidRPr="00AC1E14">
        <w:rPr>
          <w:rFonts w:asciiTheme="minorHAnsi" w:hAnsiTheme="minorHAnsi"/>
        </w:rPr>
        <w:t xml:space="preserve">Vai gala labuma guvējs darbojas kādā no nozarēm, kurām specifiskā atbalsta mērķa pasākuma 1.2.2.1. ietvaros netiek sniegts atbalsts (Ministru kabineta noteikumu </w:t>
      </w:r>
      <w:hyperlink r:id="rId6" w:anchor="p-567139" w:history="1">
        <w:r w:rsidRPr="00AC1E14">
          <w:rPr>
            <w:rStyle w:val="Hyperlink"/>
            <w:rFonts w:asciiTheme="minorHAnsi" w:hAnsiTheme="minorHAnsi"/>
            <w:color w:val="auto"/>
          </w:rPr>
          <w:t>14.2.</w:t>
        </w:r>
      </w:hyperlink>
      <w:r w:rsidRPr="00AC1E14">
        <w:rPr>
          <w:rFonts w:asciiTheme="minorHAnsi" w:hAnsiTheme="minorHAnsi"/>
        </w:rPr>
        <w:t xml:space="preserve"> apakšpunkts)?</w:t>
      </w:r>
    </w:p>
    <w:p w:rsidR="00AE7BF2" w:rsidRPr="00AC1E14" w:rsidRDefault="00AE7BF2" w:rsidP="00AC1E14">
      <w:pPr>
        <w:pStyle w:val="ListParagraph"/>
        <w:numPr>
          <w:ilvl w:val="0"/>
          <w:numId w:val="2"/>
        </w:numPr>
        <w:spacing w:after="160" w:line="259" w:lineRule="auto"/>
        <w:jc w:val="both"/>
        <w:rPr>
          <w:rFonts w:asciiTheme="minorHAnsi" w:hAnsiTheme="minorHAnsi"/>
        </w:rPr>
      </w:pPr>
      <w:r w:rsidRPr="00AC1E14">
        <w:rPr>
          <w:rFonts w:asciiTheme="minorHAnsi" w:hAnsiTheme="minorHAnsi"/>
        </w:rPr>
        <w:t>Vai gala labuma guvējam netiek sniegts atbalsts:</w:t>
      </w:r>
    </w:p>
    <w:p w:rsidR="00AE7BF2" w:rsidRPr="00AC1E14" w:rsidRDefault="00AE7BF2" w:rsidP="00AC1E14">
      <w:pPr>
        <w:pStyle w:val="ListParagraph"/>
        <w:numPr>
          <w:ilvl w:val="1"/>
          <w:numId w:val="2"/>
        </w:numPr>
        <w:spacing w:after="160" w:line="259" w:lineRule="auto"/>
        <w:ind w:left="1134" w:hanging="283"/>
        <w:jc w:val="both"/>
        <w:rPr>
          <w:rFonts w:asciiTheme="minorHAnsi" w:hAnsiTheme="minorHAnsi"/>
        </w:rPr>
      </w:pPr>
      <w:r w:rsidRPr="00AC1E14">
        <w:rPr>
          <w:rFonts w:asciiTheme="minorHAnsi" w:hAnsiTheme="minorHAnsi"/>
        </w:rPr>
        <w:t xml:space="preserve">darbībām, kas saistītas ar eksportu uz </w:t>
      </w:r>
      <w:proofErr w:type="spellStart"/>
      <w:r w:rsidRPr="00AC1E14">
        <w:rPr>
          <w:rFonts w:asciiTheme="minorHAnsi" w:hAnsiTheme="minorHAnsi"/>
        </w:rPr>
        <w:t>trešām</w:t>
      </w:r>
      <w:proofErr w:type="spellEnd"/>
      <w:r w:rsidRPr="00AC1E14">
        <w:rPr>
          <w:rFonts w:asciiTheme="minorHAnsi" w:hAnsiTheme="minorHAnsi"/>
        </w:rPr>
        <w:t xml:space="preserve"> valstīm vai dalībvalstīm, t.i., atbalstam, kas tieši saistīts ar eksportētajiem daudzumiem, izplatīšanas tīkla izveidi un darbību vai citiem kārtējiem izdevumiem, kuri saistīti ar eksporta darbībām (MK noteikumu </w:t>
      </w:r>
      <w:hyperlink r:id="rId7" w:anchor="p-567177" w:history="1">
        <w:r w:rsidRPr="00AC1E14">
          <w:rPr>
            <w:rStyle w:val="Hyperlink"/>
            <w:rFonts w:asciiTheme="minorHAnsi" w:hAnsiTheme="minorHAnsi"/>
            <w:color w:val="auto"/>
          </w:rPr>
          <w:t>48.1</w:t>
        </w:r>
      </w:hyperlink>
      <w:r w:rsidRPr="00AC1E14">
        <w:rPr>
          <w:rFonts w:asciiTheme="minorHAnsi" w:hAnsiTheme="minorHAnsi"/>
        </w:rPr>
        <w:t xml:space="preserve">.apakšpunkts, Regulas Nr. </w:t>
      </w:r>
      <w:hyperlink r:id="rId8" w:history="1">
        <w:r w:rsidRPr="00AC1E14">
          <w:rPr>
            <w:rStyle w:val="Hyperlink"/>
            <w:rFonts w:asciiTheme="minorHAnsi" w:hAnsiTheme="minorHAnsi"/>
            <w:color w:val="auto"/>
          </w:rPr>
          <w:t>651/2014</w:t>
        </w:r>
      </w:hyperlink>
      <w:r w:rsidRPr="00AC1E14">
        <w:rPr>
          <w:rFonts w:asciiTheme="minorHAnsi" w:hAnsiTheme="minorHAnsi"/>
        </w:rPr>
        <w:t xml:space="preserve"> 1.panta 2.punkta </w:t>
      </w:r>
      <w:r w:rsidRPr="00AC1E14">
        <w:rPr>
          <w:rFonts w:asciiTheme="minorHAnsi" w:hAnsiTheme="minorHAnsi"/>
          <w:i/>
        </w:rPr>
        <w:t>c</w:t>
      </w:r>
      <w:r w:rsidRPr="00AC1E14">
        <w:rPr>
          <w:rFonts w:asciiTheme="minorHAnsi" w:hAnsiTheme="minorHAnsi"/>
        </w:rPr>
        <w:t xml:space="preserve"> apakšpunkts)?</w:t>
      </w:r>
    </w:p>
    <w:p w:rsidR="00AE7BF2" w:rsidRPr="00AC1E14" w:rsidRDefault="00AE7BF2" w:rsidP="00AC1E14">
      <w:pPr>
        <w:pStyle w:val="ListParagraph"/>
        <w:numPr>
          <w:ilvl w:val="1"/>
          <w:numId w:val="2"/>
        </w:numPr>
        <w:spacing w:after="160" w:line="259" w:lineRule="auto"/>
        <w:ind w:left="1134" w:hanging="283"/>
        <w:jc w:val="both"/>
        <w:rPr>
          <w:rFonts w:asciiTheme="minorHAnsi" w:hAnsiTheme="minorHAnsi"/>
        </w:rPr>
      </w:pPr>
      <w:r w:rsidRPr="00AC1E14">
        <w:rPr>
          <w:rFonts w:asciiTheme="minorHAnsi" w:hAnsiTheme="minorHAnsi"/>
        </w:rPr>
        <w:t xml:space="preserve">atbalstam, ko piešķir ar nosacījumu, ka importa preču vietā tiek izmantotas vietējās preces (MK noteikumu </w:t>
      </w:r>
      <w:hyperlink r:id="rId9" w:anchor="p-567177" w:history="1">
        <w:r w:rsidRPr="00AC1E14">
          <w:rPr>
            <w:rStyle w:val="Hyperlink"/>
            <w:rFonts w:asciiTheme="minorHAnsi" w:hAnsiTheme="minorHAnsi"/>
            <w:color w:val="auto"/>
          </w:rPr>
          <w:t>48.1</w:t>
        </w:r>
      </w:hyperlink>
      <w:r w:rsidRPr="00AC1E14">
        <w:rPr>
          <w:rFonts w:asciiTheme="minorHAnsi" w:hAnsiTheme="minorHAnsi"/>
        </w:rPr>
        <w:t xml:space="preserve">.apakšpunkts, Regulas Nr. </w:t>
      </w:r>
      <w:hyperlink r:id="rId10" w:history="1">
        <w:r w:rsidRPr="00AC1E14">
          <w:rPr>
            <w:rStyle w:val="Hyperlink"/>
            <w:rFonts w:asciiTheme="minorHAnsi" w:hAnsiTheme="minorHAnsi"/>
            <w:color w:val="auto"/>
          </w:rPr>
          <w:t>651/2014</w:t>
        </w:r>
      </w:hyperlink>
      <w:r w:rsidRPr="00AC1E14">
        <w:rPr>
          <w:rFonts w:asciiTheme="minorHAnsi" w:hAnsiTheme="minorHAnsi"/>
        </w:rPr>
        <w:t xml:space="preserve"> 1.panta 2.punkta </w:t>
      </w:r>
      <w:r w:rsidRPr="00AC1E14">
        <w:rPr>
          <w:rFonts w:asciiTheme="minorHAnsi" w:hAnsiTheme="minorHAnsi"/>
          <w:i/>
        </w:rPr>
        <w:t>d</w:t>
      </w:r>
      <w:r w:rsidRPr="00AC1E14">
        <w:rPr>
          <w:rFonts w:asciiTheme="minorHAnsi" w:hAnsiTheme="minorHAnsi"/>
        </w:rPr>
        <w:t xml:space="preserve"> apakšpunkts)?</w:t>
      </w:r>
    </w:p>
    <w:p w:rsidR="00AE7BF2" w:rsidRPr="00AC1E14" w:rsidRDefault="00AE7BF2" w:rsidP="00AC1E14">
      <w:pPr>
        <w:pStyle w:val="ListParagraph"/>
        <w:numPr>
          <w:ilvl w:val="0"/>
          <w:numId w:val="2"/>
        </w:numPr>
        <w:spacing w:after="160" w:line="259" w:lineRule="auto"/>
        <w:jc w:val="both"/>
      </w:pPr>
      <w:r w:rsidRPr="00AC1E14">
        <w:rPr>
          <w:rFonts w:asciiTheme="minorHAnsi" w:hAnsiTheme="minorHAnsi"/>
        </w:rPr>
        <w:t xml:space="preserve">Vai atbalsts netiek piešķirts mācībām, kuras uzņēmumiem ir pienākums rīkot, nodrošinot atbilstību valsts obligātajiem standartiem (Ministru kabineta noteikumu </w:t>
      </w:r>
      <w:hyperlink r:id="rId11" w:anchor="p-567147" w:history="1">
        <w:r w:rsidRPr="00AC1E14">
          <w:rPr>
            <w:rStyle w:val="Hyperlink"/>
            <w:rFonts w:asciiTheme="minorHAnsi" w:hAnsiTheme="minorHAnsi"/>
            <w:color w:val="auto"/>
          </w:rPr>
          <w:t>21.2.</w:t>
        </w:r>
      </w:hyperlink>
      <w:r w:rsidRPr="00AC1E14">
        <w:t xml:space="preserve"> </w:t>
      </w:r>
      <w:r w:rsidRPr="00AC1E14">
        <w:lastRenderedPageBreak/>
        <w:t xml:space="preserve">apakšpunkts un Regulas Nr. </w:t>
      </w:r>
      <w:hyperlink r:id="rId12" w:history="1">
        <w:r w:rsidRPr="00AC1E14">
          <w:rPr>
            <w:rStyle w:val="Hyperlink"/>
            <w:color w:val="auto"/>
          </w:rPr>
          <w:t>651/2014</w:t>
        </w:r>
      </w:hyperlink>
      <w:r w:rsidRPr="00AC1E14">
        <w:t xml:space="preserve"> 31.panta 2.punkts)? Paskaidrojums: Netiek atbalstītas tādas mācības, kas ir veicamas obligāti saskaņā ar Latvijas normatīvo aktu prasībām.</w:t>
      </w:r>
    </w:p>
    <w:p w:rsidR="00AE7BF2" w:rsidRPr="00AC1E14" w:rsidRDefault="00AE7BF2" w:rsidP="00AC1E14">
      <w:pPr>
        <w:pStyle w:val="ListParagraph"/>
        <w:numPr>
          <w:ilvl w:val="0"/>
          <w:numId w:val="2"/>
        </w:numPr>
        <w:spacing w:after="160" w:line="259" w:lineRule="auto"/>
        <w:jc w:val="both"/>
      </w:pPr>
      <w:r w:rsidRPr="00AC1E14">
        <w:t>Vai uz gala labuma guvēju attiecas neizpildīts līdzekļu atgūšanas rīkojums saskaņā ar iepriekšēju Eiropas Komisijas lēmumu, ar ko atbalsts atzīts par nelikumīgu un nesaderīgu ar iekšējo tirgu (Regulas Nr.</w:t>
      </w:r>
      <w:hyperlink r:id="rId13" w:history="1">
        <w:r w:rsidRPr="00AC1E14">
          <w:rPr>
            <w:rStyle w:val="Hyperlink"/>
            <w:color w:val="auto"/>
          </w:rPr>
          <w:t>651/2014</w:t>
        </w:r>
      </w:hyperlink>
      <w:r w:rsidRPr="00AC1E14">
        <w:t xml:space="preserve"> 1.panta 4.punkta </w:t>
      </w:r>
      <w:r w:rsidRPr="00AC1E14">
        <w:rPr>
          <w:i/>
        </w:rPr>
        <w:t>a</w:t>
      </w:r>
      <w:r w:rsidRPr="00AC1E14">
        <w:t xml:space="preserve"> un </w:t>
      </w:r>
      <w:r w:rsidRPr="00AC1E14">
        <w:rPr>
          <w:i/>
        </w:rPr>
        <w:t>b</w:t>
      </w:r>
      <w:r w:rsidRPr="00AC1E14">
        <w:t xml:space="preserve"> apakšpunkts)? Norāde: šo jautājumu var pārbaudīt Finanšu ministrijas </w:t>
      </w:r>
      <w:hyperlink r:id="rId14" w:history="1">
        <w:r w:rsidRPr="00AC1E14">
          <w:rPr>
            <w:rStyle w:val="Hyperlink"/>
            <w:color w:val="auto"/>
          </w:rPr>
          <w:t>tīmekļa vietnē</w:t>
        </w:r>
      </w:hyperlink>
      <w:r w:rsidRPr="00AC1E14">
        <w:t>.</w:t>
      </w:r>
    </w:p>
    <w:p w:rsidR="00AE7BF2" w:rsidRPr="00AC1E14" w:rsidRDefault="00AE7BF2" w:rsidP="00AC1E14">
      <w:pPr>
        <w:pStyle w:val="ListParagraph"/>
        <w:numPr>
          <w:ilvl w:val="0"/>
          <w:numId w:val="2"/>
        </w:numPr>
        <w:spacing w:after="160" w:line="259" w:lineRule="auto"/>
        <w:jc w:val="both"/>
      </w:pPr>
      <w:r w:rsidRPr="00AC1E14">
        <w:t>Vai gala labuma guvējs nav grūtībās nonācis uzņēmums (Regulas Nr.</w:t>
      </w:r>
      <w:hyperlink r:id="rId15" w:history="1">
        <w:r w:rsidRPr="00AC1E14">
          <w:rPr>
            <w:rStyle w:val="Hyperlink"/>
            <w:color w:val="auto"/>
          </w:rPr>
          <w:t>651/2014</w:t>
        </w:r>
      </w:hyperlink>
      <w:r w:rsidRPr="00AC1E14">
        <w:t xml:space="preserve"> 2.panta 18.punkts)?</w:t>
      </w:r>
    </w:p>
    <w:p w:rsidR="00AE7BF2" w:rsidRPr="00AC1E14" w:rsidRDefault="00AE7BF2" w:rsidP="00AC1E14">
      <w:pPr>
        <w:pStyle w:val="ListParagraph"/>
        <w:numPr>
          <w:ilvl w:val="0"/>
          <w:numId w:val="2"/>
        </w:numPr>
        <w:spacing w:after="160" w:line="259" w:lineRule="auto"/>
        <w:jc w:val="both"/>
      </w:pPr>
      <w:r w:rsidRPr="00AC1E14">
        <w:t xml:space="preserve">Vai uzņēmums statuss ir noteikts korekti (Regulas Nr. </w:t>
      </w:r>
      <w:hyperlink r:id="rId16" w:history="1">
        <w:r w:rsidRPr="00AC1E14">
          <w:rPr>
            <w:rStyle w:val="Hyperlink"/>
            <w:color w:val="auto"/>
          </w:rPr>
          <w:t>651/2014</w:t>
        </w:r>
      </w:hyperlink>
      <w:r w:rsidRPr="00AC1E14">
        <w:t xml:space="preserve"> 1.pielikums)?</w:t>
      </w:r>
    </w:p>
    <w:p w:rsidR="00AE7BF2" w:rsidRPr="00AC1E14" w:rsidRDefault="00AE7BF2" w:rsidP="00AC1E14">
      <w:pPr>
        <w:pStyle w:val="ListParagraph"/>
        <w:numPr>
          <w:ilvl w:val="0"/>
          <w:numId w:val="2"/>
        </w:numPr>
        <w:spacing w:after="160" w:line="259" w:lineRule="auto"/>
        <w:jc w:val="both"/>
      </w:pPr>
      <w:r w:rsidRPr="00AC1E14">
        <w:t xml:space="preserve">Vai gala labuma guvējs ir piemērojis korektu atbalsta intensitāti (MK noteikumu </w:t>
      </w:r>
      <w:hyperlink r:id="rId17" w:anchor="p-567172" w:history="1">
        <w:r w:rsidRPr="00AC1E14">
          <w:rPr>
            <w:rStyle w:val="Hyperlink"/>
            <w:color w:val="auto"/>
          </w:rPr>
          <w:t>43</w:t>
        </w:r>
      </w:hyperlink>
      <w:r w:rsidRPr="00AC1E14">
        <w:t xml:space="preserve">. un </w:t>
      </w:r>
      <w:hyperlink r:id="rId18" w:anchor="p-567179" w:history="1">
        <w:r w:rsidRPr="00AC1E14">
          <w:rPr>
            <w:rStyle w:val="Hyperlink"/>
            <w:color w:val="auto"/>
          </w:rPr>
          <w:t>50</w:t>
        </w:r>
      </w:hyperlink>
      <w:r w:rsidRPr="00AC1E14">
        <w:t xml:space="preserve">.punkts, Regulas Nr. </w:t>
      </w:r>
      <w:hyperlink r:id="rId19" w:history="1">
        <w:r w:rsidRPr="00AC1E14">
          <w:rPr>
            <w:rStyle w:val="Hyperlink"/>
            <w:color w:val="auto"/>
          </w:rPr>
          <w:t>651/2014</w:t>
        </w:r>
      </w:hyperlink>
      <w:r w:rsidRPr="00AC1E14">
        <w:t xml:space="preserve"> 31.panta 4.punkts)?</w:t>
      </w:r>
    </w:p>
    <w:p w:rsidR="00AE7BF2" w:rsidRPr="00AC1E14" w:rsidRDefault="00AE7BF2" w:rsidP="00AC1E14">
      <w:pPr>
        <w:pStyle w:val="ListParagraph"/>
        <w:numPr>
          <w:ilvl w:val="0"/>
          <w:numId w:val="2"/>
        </w:numPr>
        <w:spacing w:after="160" w:line="259" w:lineRule="auto"/>
        <w:jc w:val="both"/>
      </w:pPr>
      <w:r w:rsidRPr="00AC1E14">
        <w:t xml:space="preserve">Vai atbalsts tiek piešķirts atbilstoši attiecināmo izmaksu pozīcijām (MK noteikumu </w:t>
      </w:r>
      <w:hyperlink r:id="rId20" w:anchor="p-567150" w:history="1">
        <w:r w:rsidRPr="00AC1E14">
          <w:rPr>
            <w:rStyle w:val="Hyperlink"/>
            <w:color w:val="auto"/>
          </w:rPr>
          <w:t>23</w:t>
        </w:r>
      </w:hyperlink>
      <w:r w:rsidRPr="00AC1E14">
        <w:t>.punkts)?</w:t>
      </w:r>
    </w:p>
    <w:p w:rsidR="00AE7BF2" w:rsidRPr="00AC1E14" w:rsidRDefault="00AE7BF2" w:rsidP="00AC1E14">
      <w:pPr>
        <w:pStyle w:val="ListParagraph"/>
        <w:numPr>
          <w:ilvl w:val="0"/>
          <w:numId w:val="2"/>
        </w:numPr>
        <w:spacing w:after="160" w:line="259" w:lineRule="auto"/>
        <w:jc w:val="both"/>
      </w:pPr>
      <w:r w:rsidRPr="00AC1E14">
        <w:t xml:space="preserve">Vai izmaksas nav radušās un samaksātas pirms uzņēmums, kas ir valsts atbalsta saņēmējs, ir iesniedzis rakstisku atbalsta pieteikumu biedrībai, kas ir valsts atbalsta sniedzējs (Regulas Nr. </w:t>
      </w:r>
      <w:hyperlink r:id="rId21" w:history="1">
        <w:r w:rsidRPr="00AC1E14">
          <w:rPr>
            <w:rStyle w:val="Hyperlink"/>
            <w:color w:val="auto"/>
          </w:rPr>
          <w:t>651/2014</w:t>
        </w:r>
      </w:hyperlink>
      <w:r w:rsidRPr="00AC1E14">
        <w:t xml:space="preserve"> 6.panta 2.punkts)?</w:t>
      </w:r>
    </w:p>
    <w:p w:rsidR="00AE7BF2" w:rsidRPr="00204391" w:rsidRDefault="00AE7BF2" w:rsidP="00AC1E14">
      <w:pPr>
        <w:pStyle w:val="ListParagraph"/>
        <w:numPr>
          <w:ilvl w:val="0"/>
          <w:numId w:val="2"/>
        </w:numPr>
        <w:spacing w:after="160" w:line="259" w:lineRule="auto"/>
        <w:jc w:val="both"/>
      </w:pPr>
      <w:r w:rsidRPr="00AC1E14">
        <w:t>Vai uzņēmuma rīcībā nav līdzekļu/uzņēmums nav plānojis līdzekļus, lai projektā īstenotu projektā paredzētās apmācības bez valsts atbalsta?</w:t>
      </w:r>
      <w:bookmarkStart w:id="0" w:name="_GoBack"/>
    </w:p>
    <w:bookmarkEnd w:id="0"/>
    <w:p w:rsidR="00AE7BF2" w:rsidRPr="00AC1E14" w:rsidRDefault="00AE7BF2" w:rsidP="00AC1E14">
      <w:pPr>
        <w:pStyle w:val="ListParagraph"/>
        <w:numPr>
          <w:ilvl w:val="0"/>
          <w:numId w:val="2"/>
        </w:numPr>
        <w:spacing w:after="160" w:line="259" w:lineRule="auto"/>
        <w:jc w:val="both"/>
      </w:pPr>
      <w:r w:rsidRPr="00AC1E14">
        <w:t xml:space="preserve">Vai gala labuma guvējs neapvieno šo valsts atbalstu ar citu valsts atbalstu (no valsts, pašvaldības vai ES fondu līdzekļiem), kas attiecas uz tām pašām attiecināmajām izmaksām (MK noteikumu </w:t>
      </w:r>
      <w:hyperlink r:id="rId22" w:anchor="p-567180" w:history="1">
        <w:r w:rsidRPr="00AC1E14">
          <w:rPr>
            <w:rStyle w:val="Hyperlink"/>
            <w:color w:val="auto"/>
          </w:rPr>
          <w:t>51</w:t>
        </w:r>
      </w:hyperlink>
      <w:r w:rsidRPr="00AC1E14">
        <w:t>.punkts)?</w:t>
      </w:r>
    </w:p>
    <w:p w:rsidR="00AE7BF2" w:rsidRPr="00AC1E14" w:rsidRDefault="00AE7BF2" w:rsidP="00AC1E14">
      <w:pPr>
        <w:pStyle w:val="ListParagraph"/>
        <w:numPr>
          <w:ilvl w:val="0"/>
          <w:numId w:val="2"/>
        </w:numPr>
        <w:spacing w:after="160" w:line="259" w:lineRule="auto"/>
        <w:jc w:val="both"/>
      </w:pPr>
      <w:r w:rsidRPr="00AC1E14">
        <w:t xml:space="preserve">Vai gala labuma guvējs apņemas uzglabāt informāciju par saņemto valsts atbalstu 10 gadus, skaitot no atbalsta piešķiršanas dienas (Ministru kabineta noteikumu </w:t>
      </w:r>
      <w:hyperlink r:id="rId23" w:anchor="p-567181" w:history="1">
        <w:r w:rsidRPr="00AC1E14">
          <w:rPr>
            <w:rStyle w:val="Hyperlink"/>
            <w:color w:val="auto"/>
          </w:rPr>
          <w:t>52</w:t>
        </w:r>
      </w:hyperlink>
      <w:r w:rsidRPr="00AC1E14">
        <w:t xml:space="preserve">.punkts un Regulas Nr. </w:t>
      </w:r>
      <w:hyperlink r:id="rId24" w:history="1">
        <w:r w:rsidRPr="00AC1E14">
          <w:rPr>
            <w:rStyle w:val="Hyperlink"/>
            <w:color w:val="auto"/>
          </w:rPr>
          <w:t>651/2014</w:t>
        </w:r>
      </w:hyperlink>
      <w:r w:rsidRPr="00AC1E14">
        <w:t xml:space="preserve"> 12.pants)?</w:t>
      </w:r>
    </w:p>
    <w:p w:rsidR="00AE7BF2" w:rsidRPr="00AC1E14" w:rsidRDefault="00AE7BF2" w:rsidP="00AC1E14">
      <w:pPr>
        <w:pStyle w:val="NoSpacing"/>
        <w:numPr>
          <w:ilvl w:val="0"/>
          <w:numId w:val="2"/>
        </w:numPr>
        <w:jc w:val="both"/>
        <w:rPr>
          <w:rFonts w:asciiTheme="minorHAnsi" w:hAnsiTheme="minorHAnsi"/>
          <w:color w:val="auto"/>
          <w:szCs w:val="22"/>
        </w:rPr>
      </w:pPr>
      <w:r w:rsidRPr="00AC1E14">
        <w:rPr>
          <w:rFonts w:asciiTheme="minorHAnsi" w:hAnsiTheme="minorHAnsi"/>
          <w:color w:val="auto"/>
          <w:szCs w:val="22"/>
        </w:rPr>
        <w:t xml:space="preserve">Vai gala labuma guvējam valsts atbalsta piešķiršanas dienā nav nodokļu parādi, tajā skaitā valsts sociālās apdrošināšanas obligāto iemaksu parādi, kas kopsummā pārsniedz 150 </w:t>
      </w:r>
      <w:proofErr w:type="spellStart"/>
      <w:r w:rsidRPr="00AC1E14">
        <w:rPr>
          <w:rFonts w:asciiTheme="minorHAnsi" w:hAnsiTheme="minorHAnsi"/>
          <w:i/>
          <w:color w:val="auto"/>
          <w:szCs w:val="22"/>
        </w:rPr>
        <w:t>euro</w:t>
      </w:r>
      <w:proofErr w:type="spellEnd"/>
      <w:r w:rsidRPr="00AC1E14">
        <w:rPr>
          <w:rFonts w:asciiTheme="minorHAnsi" w:hAnsiTheme="minorHAnsi"/>
          <w:color w:val="auto"/>
          <w:szCs w:val="22"/>
        </w:rPr>
        <w:t xml:space="preserve">? (projekta līguma nosacījumi) </w:t>
      </w:r>
    </w:p>
    <w:p w:rsidR="00AE7BF2" w:rsidRPr="00AC1E14" w:rsidRDefault="00AE7BF2" w:rsidP="00AC1E14">
      <w:pPr>
        <w:pStyle w:val="NoSpacing"/>
        <w:ind w:left="360"/>
        <w:jc w:val="both"/>
        <w:rPr>
          <w:rFonts w:asciiTheme="minorHAnsi" w:hAnsiTheme="minorHAnsi"/>
          <w:color w:val="auto"/>
          <w:szCs w:val="22"/>
        </w:rPr>
      </w:pPr>
      <w:r w:rsidRPr="00AC1E14">
        <w:rPr>
          <w:rFonts w:asciiTheme="minorHAnsi" w:hAnsiTheme="minorHAnsi"/>
          <w:color w:val="auto"/>
          <w:szCs w:val="22"/>
        </w:rPr>
        <w:t xml:space="preserve">Nosacījuma izvērtēšanā izmanto Valsts ieņēmumu dienesta administrēto nodokļu un nodevu parādnieku datu bāzi </w:t>
      </w:r>
      <w:hyperlink r:id="rId25" w:history="1">
        <w:r w:rsidRPr="00AC1E14">
          <w:rPr>
            <w:rStyle w:val="Hyperlink"/>
            <w:rFonts w:asciiTheme="minorHAnsi" w:hAnsiTheme="minorHAnsi"/>
            <w:color w:val="auto"/>
            <w:szCs w:val="22"/>
          </w:rPr>
          <w:t>http://www6.vid.gov.lv/VID_PDB/NPAR</w:t>
        </w:r>
      </w:hyperlink>
      <w:r w:rsidRPr="00AC1E14">
        <w:rPr>
          <w:rFonts w:asciiTheme="minorHAnsi" w:hAnsiTheme="minorHAnsi"/>
          <w:color w:val="auto"/>
          <w:szCs w:val="22"/>
        </w:rPr>
        <w:t xml:space="preserve">. </w:t>
      </w:r>
    </w:p>
    <w:p w:rsidR="00AE7BF2" w:rsidRPr="00AC1E14" w:rsidRDefault="00AE7BF2" w:rsidP="00AC1E14">
      <w:pPr>
        <w:pStyle w:val="NoSpacing"/>
        <w:ind w:left="360"/>
        <w:jc w:val="both"/>
        <w:rPr>
          <w:rFonts w:asciiTheme="minorHAnsi" w:hAnsiTheme="minorHAnsi"/>
          <w:color w:val="auto"/>
          <w:szCs w:val="22"/>
        </w:rPr>
      </w:pPr>
      <w:r w:rsidRPr="00AC1E14">
        <w:rPr>
          <w:rFonts w:asciiTheme="minorHAnsi" w:hAnsiTheme="minorHAnsi"/>
          <w:color w:val="auto"/>
          <w:szCs w:val="22"/>
        </w:rPr>
        <w:t>Ņemot vērā, ka VID datu bāzē informācija par VID administrētajiem nodokļu parādiem tiek publicēta divreiz mēnesī, vērtēšanā nodokļu parāds VID datu bāzē tiek pārbaudīts VID noteiktajā publicēšanas dienā, kas ir tuvākais lēmumam par valsts piešķiršanu.</w:t>
      </w:r>
    </w:p>
    <w:p w:rsidR="00AE7BF2" w:rsidRPr="00AC1E14" w:rsidRDefault="00AE7BF2" w:rsidP="00AC1E14">
      <w:pPr>
        <w:pStyle w:val="NoSpacing"/>
        <w:ind w:left="360"/>
        <w:jc w:val="both"/>
        <w:rPr>
          <w:rFonts w:asciiTheme="minorHAnsi" w:hAnsiTheme="minorHAnsi"/>
          <w:color w:val="auto"/>
          <w:szCs w:val="22"/>
        </w:rPr>
      </w:pPr>
    </w:p>
    <w:p w:rsidR="00D272ED" w:rsidRPr="001D1537" w:rsidRDefault="00D272ED" w:rsidP="00AE7BF2">
      <w:pPr>
        <w:pStyle w:val="NoSpacing"/>
        <w:ind w:left="360"/>
        <w:jc w:val="both"/>
        <w:rPr>
          <w:rFonts w:asciiTheme="minorHAnsi" w:hAnsiTheme="minorHAnsi"/>
          <w:color w:val="FF0000"/>
          <w:szCs w:val="22"/>
        </w:rPr>
      </w:pPr>
    </w:p>
    <w:p w:rsidR="00D272ED" w:rsidRDefault="00D272ED" w:rsidP="00AC1E14">
      <w:pPr>
        <w:pStyle w:val="ListParagraph"/>
        <w:numPr>
          <w:ilvl w:val="0"/>
          <w:numId w:val="1"/>
        </w:numPr>
        <w:contextualSpacing w:val="0"/>
      </w:pPr>
      <w:r w:rsidRPr="00AC1E14">
        <w:t>Vai šajā projektā iespējams apmācīt darbiniekus, ja uzņēmumam NACE kods ir 46.51 vai 35.11?</w:t>
      </w:r>
    </w:p>
    <w:p w:rsidR="00AC1E14" w:rsidRPr="00AC1E14" w:rsidRDefault="00AC1E14" w:rsidP="00AC1E14">
      <w:pPr>
        <w:pStyle w:val="ListParagraph"/>
        <w:contextualSpacing w:val="0"/>
      </w:pPr>
    </w:p>
    <w:p w:rsidR="00D272ED" w:rsidRPr="00AC1E14" w:rsidRDefault="00D272ED" w:rsidP="00AC1E14">
      <w:pPr>
        <w:jc w:val="both"/>
        <w:rPr>
          <w:shd w:val="clear" w:color="auto" w:fill="FFFFFF"/>
        </w:rPr>
      </w:pPr>
      <w:r w:rsidRPr="00AC1E14">
        <w:rPr>
          <w:b/>
        </w:rPr>
        <w:t xml:space="preserve">Atbilde: </w:t>
      </w:r>
      <w:r w:rsidR="00E36554" w:rsidRPr="00AC1E14">
        <w:t xml:space="preserve"> </w:t>
      </w:r>
      <w:r w:rsidR="002267D2" w:rsidRPr="00AC1E14">
        <w:t>NACE 35.11 “</w:t>
      </w:r>
      <w:r w:rsidR="002267D2" w:rsidRPr="00AC1E14">
        <w:rPr>
          <w:shd w:val="clear" w:color="auto" w:fill="FFFFFF"/>
        </w:rPr>
        <w:t xml:space="preserve">Elektroenerģijas ražošana” – jā, ja apmācību joma atbilst Viedās specializācijas jomai “Viedā enerģētika”. </w:t>
      </w:r>
      <w:r w:rsidR="002267D2" w:rsidRPr="00AC1E14">
        <w:t>NACE 46.51 “</w:t>
      </w:r>
      <w:r w:rsidR="002267D2" w:rsidRPr="00AC1E14">
        <w:rPr>
          <w:shd w:val="clear" w:color="auto" w:fill="FFFFFF"/>
        </w:rPr>
        <w:t xml:space="preserve">Datoru, to </w:t>
      </w:r>
      <w:proofErr w:type="spellStart"/>
      <w:r w:rsidR="002267D2" w:rsidRPr="00AC1E14">
        <w:rPr>
          <w:shd w:val="clear" w:color="auto" w:fill="FFFFFF"/>
        </w:rPr>
        <w:t>perifēro</w:t>
      </w:r>
      <w:proofErr w:type="spellEnd"/>
      <w:r w:rsidR="002267D2" w:rsidRPr="00AC1E14">
        <w:rPr>
          <w:shd w:val="clear" w:color="auto" w:fill="FFFFFF"/>
        </w:rPr>
        <w:t xml:space="preserve"> iekārtu un programmatūras vairumtirdzniecība” - nē.</w:t>
      </w:r>
    </w:p>
    <w:p w:rsidR="002267D2" w:rsidRPr="00AC1E14" w:rsidRDefault="002267D2" w:rsidP="00AC1E14">
      <w:pPr>
        <w:ind w:firstLine="360"/>
        <w:jc w:val="both"/>
      </w:pPr>
      <w:r w:rsidRPr="00AC1E14">
        <w:t>Atkārtoti vēršam uzmanību, ka attiecībā uz gala labuma guvējiem pastāv trīs ierobežojumi:</w:t>
      </w:r>
    </w:p>
    <w:p w:rsidR="002267D2" w:rsidRPr="00AC1E14" w:rsidRDefault="002267D2" w:rsidP="00AC1E14">
      <w:pPr>
        <w:pStyle w:val="ListParagraph"/>
        <w:numPr>
          <w:ilvl w:val="0"/>
          <w:numId w:val="6"/>
        </w:numPr>
        <w:spacing w:line="276" w:lineRule="auto"/>
        <w:jc w:val="both"/>
      </w:pPr>
      <w:r w:rsidRPr="00AC1E14">
        <w:t>Specifiskajā atbilstības kritērijā Nr.2.1. ir noteikts, ka apmācības tiks sniegtas Viedās specializācijas stratēģijā noteiktajām jomām.</w:t>
      </w:r>
    </w:p>
    <w:p w:rsidR="002267D2" w:rsidRPr="00AC1E14" w:rsidRDefault="002267D2" w:rsidP="00AC1E14">
      <w:pPr>
        <w:pStyle w:val="ListParagraph"/>
        <w:numPr>
          <w:ilvl w:val="0"/>
          <w:numId w:val="6"/>
        </w:numPr>
        <w:spacing w:line="276" w:lineRule="auto"/>
        <w:jc w:val="both"/>
      </w:pPr>
      <w:r w:rsidRPr="00AC1E14">
        <w:t>Savukārt Ministru kabineta noteikumu Nr.617 14.2.apakšpunktā ir noteiktas neatbalstāmās nozares, kas izriet no Komisijas regulas Nr.651/2014 1.panta 3.punkta.</w:t>
      </w:r>
    </w:p>
    <w:p w:rsidR="002267D2" w:rsidRPr="00AC1E14" w:rsidRDefault="002267D2" w:rsidP="002267D2">
      <w:pPr>
        <w:pStyle w:val="ListParagraph"/>
        <w:numPr>
          <w:ilvl w:val="0"/>
          <w:numId w:val="6"/>
        </w:numPr>
        <w:spacing w:line="276" w:lineRule="auto"/>
        <w:jc w:val="both"/>
      </w:pPr>
      <w:r w:rsidRPr="00AC1E14">
        <w:t>Gala labuma guvēji var saņemt atbalstu apmācībām, kas atbilst atbalstāmo apmācību jomu sarakstam (MK noteikumu Nr.617 2.pielikumā).</w:t>
      </w:r>
    </w:p>
    <w:p w:rsidR="002267D2" w:rsidRDefault="002267D2" w:rsidP="002267D2">
      <w:pPr>
        <w:rPr>
          <w:color w:val="FF0000"/>
        </w:rPr>
      </w:pPr>
    </w:p>
    <w:p w:rsidR="002267D2" w:rsidRDefault="002267D2" w:rsidP="00D272ED">
      <w:pPr>
        <w:pStyle w:val="ListParagraph"/>
        <w:contextualSpacing w:val="0"/>
        <w:rPr>
          <w:color w:val="1F497D"/>
        </w:rPr>
      </w:pPr>
    </w:p>
    <w:p w:rsidR="00D272ED" w:rsidRPr="002C00D8" w:rsidRDefault="00D272ED" w:rsidP="00AC1E14">
      <w:pPr>
        <w:pStyle w:val="ListParagraph"/>
        <w:numPr>
          <w:ilvl w:val="0"/>
          <w:numId w:val="1"/>
        </w:numPr>
        <w:contextualSpacing w:val="0"/>
        <w:jc w:val="both"/>
        <w:rPr>
          <w:rFonts w:asciiTheme="minorHAnsi" w:hAnsiTheme="minorHAnsi"/>
        </w:rPr>
      </w:pPr>
      <w:r w:rsidRPr="002C00D8">
        <w:rPr>
          <w:rFonts w:asciiTheme="minorHAnsi" w:hAnsiTheme="minorHAnsi"/>
        </w:rPr>
        <w:t xml:space="preserve">Vai finansējums šīm apmācībām tiek segts no </w:t>
      </w:r>
      <w:proofErr w:type="spellStart"/>
      <w:r w:rsidRPr="002C00D8">
        <w:rPr>
          <w:rFonts w:asciiTheme="minorHAnsi" w:hAnsiTheme="minorHAnsi"/>
        </w:rPr>
        <w:t>de</w:t>
      </w:r>
      <w:proofErr w:type="spellEnd"/>
      <w:r w:rsidRPr="002C00D8">
        <w:rPr>
          <w:rFonts w:asciiTheme="minorHAnsi" w:hAnsiTheme="minorHAnsi"/>
        </w:rPr>
        <w:t xml:space="preserve"> </w:t>
      </w:r>
      <w:proofErr w:type="spellStart"/>
      <w:r w:rsidRPr="002C00D8">
        <w:rPr>
          <w:rFonts w:asciiTheme="minorHAnsi" w:hAnsiTheme="minorHAnsi"/>
        </w:rPr>
        <w:t>minimis</w:t>
      </w:r>
      <w:proofErr w:type="spellEnd"/>
      <w:r w:rsidRPr="002C00D8">
        <w:rPr>
          <w:rFonts w:asciiTheme="minorHAnsi" w:hAnsiTheme="minorHAnsi"/>
        </w:rPr>
        <w:t xml:space="preserve"> atbalsta programmas ar limitu vienam uzņēmumam 200,000 EUR trīs gadu laikā? Vai arī </w:t>
      </w:r>
      <w:proofErr w:type="spellStart"/>
      <w:r w:rsidRPr="002C00D8">
        <w:rPr>
          <w:rFonts w:asciiTheme="minorHAnsi" w:hAnsiTheme="minorHAnsi"/>
        </w:rPr>
        <w:t>de</w:t>
      </w:r>
      <w:proofErr w:type="spellEnd"/>
      <w:r w:rsidRPr="002C00D8">
        <w:rPr>
          <w:rFonts w:asciiTheme="minorHAnsi" w:hAnsiTheme="minorHAnsi"/>
        </w:rPr>
        <w:t xml:space="preserve"> </w:t>
      </w:r>
      <w:proofErr w:type="spellStart"/>
      <w:r w:rsidRPr="002C00D8">
        <w:rPr>
          <w:rFonts w:asciiTheme="minorHAnsi" w:hAnsiTheme="minorHAnsi"/>
        </w:rPr>
        <w:t>minimis</w:t>
      </w:r>
      <w:proofErr w:type="spellEnd"/>
      <w:r w:rsidRPr="002C00D8">
        <w:rPr>
          <w:rFonts w:asciiTheme="minorHAnsi" w:hAnsiTheme="minorHAnsi"/>
        </w:rPr>
        <w:t xml:space="preserve"> skaitās tikai uz biedrību, kura iesniedz projektu?</w:t>
      </w:r>
    </w:p>
    <w:p w:rsidR="00A95127" w:rsidRPr="002C00D8" w:rsidRDefault="00A95127" w:rsidP="00A95127">
      <w:pPr>
        <w:pStyle w:val="ListParagraph"/>
        <w:contextualSpacing w:val="0"/>
        <w:rPr>
          <w:rFonts w:asciiTheme="minorHAnsi" w:hAnsiTheme="minorHAnsi"/>
        </w:rPr>
      </w:pPr>
    </w:p>
    <w:p w:rsidR="00A95127" w:rsidRPr="002C00D8" w:rsidRDefault="0074170E" w:rsidP="00AC1E14">
      <w:pPr>
        <w:jc w:val="both"/>
        <w:rPr>
          <w:rFonts w:asciiTheme="minorHAnsi" w:hAnsiTheme="minorHAnsi"/>
        </w:rPr>
      </w:pPr>
      <w:r w:rsidRPr="002C00D8">
        <w:rPr>
          <w:rFonts w:asciiTheme="minorHAnsi" w:hAnsiTheme="minorHAnsi"/>
          <w:b/>
        </w:rPr>
        <w:t>Atbilde:</w:t>
      </w:r>
      <w:r w:rsidRPr="002C00D8">
        <w:rPr>
          <w:rFonts w:asciiTheme="minorHAnsi" w:hAnsiTheme="minorHAnsi"/>
        </w:rPr>
        <w:t xml:space="preserve"> Finansējums MK noteikumu Nr.617 23.1.1., 23.2. un 23.3. apakšpunktā minēto izmaksu segšanai, t.sk., apmācību kursu izmaksas, ir uzskatāms par komercdarbības atbalstu gala labuma guvējiem, kas tiek sniegts</w:t>
      </w:r>
      <w:r w:rsidR="00E36554" w:rsidRPr="002C00D8">
        <w:rPr>
          <w:rFonts w:asciiTheme="minorHAnsi" w:hAnsiTheme="minorHAnsi"/>
        </w:rPr>
        <w:t xml:space="preserve"> saskaņā ar Komisijas regulas Nr.651/2014 31.pantu</w:t>
      </w:r>
      <w:r w:rsidRPr="002C00D8">
        <w:rPr>
          <w:rFonts w:asciiTheme="minorHAnsi" w:hAnsiTheme="minorHAnsi"/>
        </w:rPr>
        <w:t xml:space="preserve"> nefinansiāla atbalsta veidā un tam netiek piemērot</w:t>
      </w:r>
      <w:r w:rsidR="00E36554" w:rsidRPr="002C00D8">
        <w:rPr>
          <w:rFonts w:asciiTheme="minorHAnsi" w:hAnsiTheme="minorHAnsi"/>
        </w:rPr>
        <w:t>s</w:t>
      </w:r>
      <w:r w:rsidRPr="002C00D8">
        <w:rPr>
          <w:rFonts w:asciiTheme="minorHAnsi" w:hAnsiTheme="minorHAnsi"/>
        </w:rPr>
        <w:t xml:space="preserve"> </w:t>
      </w:r>
      <w:proofErr w:type="spellStart"/>
      <w:r w:rsidRPr="002C00D8">
        <w:rPr>
          <w:rFonts w:asciiTheme="minorHAnsi" w:hAnsiTheme="minorHAnsi"/>
          <w:i/>
        </w:rPr>
        <w:t>de</w:t>
      </w:r>
      <w:proofErr w:type="spellEnd"/>
      <w:r w:rsidRPr="002C00D8">
        <w:rPr>
          <w:rFonts w:asciiTheme="minorHAnsi" w:hAnsiTheme="minorHAnsi"/>
          <w:i/>
        </w:rPr>
        <w:t xml:space="preserve"> </w:t>
      </w:r>
      <w:proofErr w:type="spellStart"/>
      <w:r w:rsidRPr="002C00D8">
        <w:rPr>
          <w:rFonts w:asciiTheme="minorHAnsi" w:hAnsiTheme="minorHAnsi"/>
          <w:i/>
        </w:rPr>
        <w:t>min</w:t>
      </w:r>
      <w:r w:rsidR="00E36554" w:rsidRPr="002C00D8">
        <w:rPr>
          <w:rFonts w:asciiTheme="minorHAnsi" w:hAnsiTheme="minorHAnsi"/>
          <w:i/>
        </w:rPr>
        <w:t>imis</w:t>
      </w:r>
      <w:proofErr w:type="spellEnd"/>
      <w:r w:rsidR="00E36554" w:rsidRPr="002C00D8">
        <w:rPr>
          <w:rFonts w:asciiTheme="minorHAnsi" w:hAnsiTheme="minorHAnsi"/>
        </w:rPr>
        <w:t xml:space="preserve"> piešķiršanas nosacījumi un Komisijas regulā Nr.1407/2013 noteiktais limits</w:t>
      </w:r>
      <w:r w:rsidRPr="002C00D8">
        <w:rPr>
          <w:rFonts w:asciiTheme="minorHAnsi" w:hAnsiTheme="minorHAnsi"/>
        </w:rPr>
        <w:t xml:space="preserve">. Savukārt, MK noteikumos Nr.617 23.1.2.apakšpunktā, kas ir projekta vadības izmaksas, noteiktās izmaksas ir uzskatāmas par komercdarbības atbalstu finansējuma saņēmējam un tās sniedz saskaņā ar Komisijas regulu Nr.1407/2013 un normatīvajiem aktiem par </w:t>
      </w:r>
      <w:proofErr w:type="spellStart"/>
      <w:r w:rsidRPr="002C00D8">
        <w:rPr>
          <w:rFonts w:asciiTheme="minorHAnsi" w:hAnsiTheme="minorHAnsi"/>
          <w:i/>
          <w:u w:val="single"/>
        </w:rPr>
        <w:t>de</w:t>
      </w:r>
      <w:proofErr w:type="spellEnd"/>
      <w:r w:rsidRPr="002C00D8">
        <w:rPr>
          <w:rFonts w:asciiTheme="minorHAnsi" w:hAnsiTheme="minorHAnsi"/>
          <w:i/>
          <w:u w:val="single"/>
        </w:rPr>
        <w:t xml:space="preserve"> </w:t>
      </w:r>
      <w:proofErr w:type="spellStart"/>
      <w:r w:rsidRPr="002C00D8">
        <w:rPr>
          <w:rFonts w:asciiTheme="minorHAnsi" w:hAnsiTheme="minorHAnsi"/>
          <w:i/>
          <w:u w:val="single"/>
        </w:rPr>
        <w:t>minimis</w:t>
      </w:r>
      <w:proofErr w:type="spellEnd"/>
      <w:r w:rsidRPr="002C00D8">
        <w:rPr>
          <w:rFonts w:asciiTheme="minorHAnsi" w:hAnsiTheme="minorHAnsi"/>
        </w:rPr>
        <w:t xml:space="preserve"> atbalsta uzskaites un piešķiršanas kārtību un </w:t>
      </w:r>
      <w:proofErr w:type="spellStart"/>
      <w:r w:rsidRPr="002C00D8">
        <w:rPr>
          <w:rFonts w:asciiTheme="minorHAnsi" w:hAnsiTheme="minorHAnsi"/>
          <w:i/>
        </w:rPr>
        <w:t>de</w:t>
      </w:r>
      <w:proofErr w:type="spellEnd"/>
      <w:r w:rsidRPr="002C00D8">
        <w:rPr>
          <w:rFonts w:asciiTheme="minorHAnsi" w:hAnsiTheme="minorHAnsi"/>
          <w:i/>
        </w:rPr>
        <w:t xml:space="preserve"> </w:t>
      </w:r>
      <w:proofErr w:type="spellStart"/>
      <w:r w:rsidRPr="002C00D8">
        <w:rPr>
          <w:rFonts w:asciiTheme="minorHAnsi" w:hAnsiTheme="minorHAnsi"/>
          <w:i/>
        </w:rPr>
        <w:t>minimis</w:t>
      </w:r>
      <w:proofErr w:type="spellEnd"/>
      <w:r w:rsidRPr="002C00D8">
        <w:rPr>
          <w:rFonts w:asciiTheme="minorHAnsi" w:hAnsiTheme="minorHAnsi"/>
        </w:rPr>
        <w:t xml:space="preserve"> atbalsta uzskaites veidlapu paraugiem.</w:t>
      </w:r>
    </w:p>
    <w:p w:rsidR="00D272ED" w:rsidRPr="002C00D8" w:rsidRDefault="00D272ED" w:rsidP="00D272ED">
      <w:pPr>
        <w:rPr>
          <w:rFonts w:asciiTheme="minorHAnsi" w:hAnsiTheme="minorHAnsi"/>
        </w:rPr>
      </w:pPr>
    </w:p>
    <w:p w:rsidR="00D272ED" w:rsidRPr="002C00D8" w:rsidRDefault="0074170E" w:rsidP="00AC1E14">
      <w:pPr>
        <w:pStyle w:val="ListParagraph"/>
        <w:numPr>
          <w:ilvl w:val="0"/>
          <w:numId w:val="1"/>
        </w:numPr>
        <w:jc w:val="both"/>
        <w:rPr>
          <w:rFonts w:asciiTheme="minorHAnsi" w:hAnsiTheme="minorHAnsi"/>
        </w:rPr>
      </w:pPr>
      <w:r w:rsidRPr="002C00D8">
        <w:rPr>
          <w:rFonts w:asciiTheme="minorHAnsi" w:hAnsiTheme="minorHAnsi"/>
        </w:rPr>
        <w:t>K</w:t>
      </w:r>
      <w:r w:rsidR="00D272ED" w:rsidRPr="002C00D8">
        <w:rPr>
          <w:rFonts w:asciiTheme="minorHAnsi" w:hAnsiTheme="minorHAnsi"/>
        </w:rPr>
        <w:t xml:space="preserve">ur var atrast aizpildīšanai </w:t>
      </w:r>
      <w:proofErr w:type="spellStart"/>
      <w:r w:rsidR="00D272ED" w:rsidRPr="002C00D8">
        <w:rPr>
          <w:rFonts w:asciiTheme="minorHAnsi" w:hAnsiTheme="minorHAnsi"/>
        </w:rPr>
        <w:t>de</w:t>
      </w:r>
      <w:proofErr w:type="spellEnd"/>
      <w:r w:rsidR="00D272ED" w:rsidRPr="002C00D8">
        <w:rPr>
          <w:rFonts w:asciiTheme="minorHAnsi" w:hAnsiTheme="minorHAnsi"/>
        </w:rPr>
        <w:t xml:space="preserve"> </w:t>
      </w:r>
      <w:proofErr w:type="spellStart"/>
      <w:r w:rsidR="00D272ED" w:rsidRPr="002C00D8">
        <w:rPr>
          <w:rFonts w:asciiTheme="minorHAnsi" w:hAnsiTheme="minorHAnsi"/>
        </w:rPr>
        <w:t>minimis</w:t>
      </w:r>
      <w:proofErr w:type="spellEnd"/>
      <w:r w:rsidR="00D272ED" w:rsidRPr="002C00D8">
        <w:rPr>
          <w:rFonts w:asciiTheme="minorHAnsi" w:hAnsiTheme="minorHAnsi"/>
        </w:rPr>
        <w:t xml:space="preserve"> anketu? Diemžēl pie projekta iesniegšanas dokumentiem veidlapu neatrodam.</w:t>
      </w:r>
    </w:p>
    <w:p w:rsidR="00AC1E14" w:rsidRPr="002C00D8" w:rsidRDefault="00AC1E14" w:rsidP="00AC1E14">
      <w:pPr>
        <w:pStyle w:val="ListParagraph"/>
        <w:jc w:val="both"/>
        <w:rPr>
          <w:rFonts w:asciiTheme="minorHAnsi" w:hAnsiTheme="minorHAnsi"/>
        </w:rPr>
      </w:pPr>
    </w:p>
    <w:p w:rsidR="00AE7BF2" w:rsidRPr="002C00D8" w:rsidRDefault="0074170E" w:rsidP="00E36554">
      <w:pPr>
        <w:jc w:val="both"/>
        <w:rPr>
          <w:rFonts w:asciiTheme="minorHAnsi" w:hAnsiTheme="minorHAnsi"/>
        </w:rPr>
      </w:pPr>
      <w:r w:rsidRPr="002C00D8">
        <w:rPr>
          <w:rFonts w:asciiTheme="minorHAnsi" w:hAnsiTheme="minorHAnsi"/>
          <w:b/>
        </w:rPr>
        <w:t>Atbilde:</w:t>
      </w:r>
      <w:r w:rsidRPr="002C00D8">
        <w:rPr>
          <w:rFonts w:asciiTheme="minorHAnsi" w:hAnsiTheme="minorHAnsi"/>
        </w:rPr>
        <w:t xml:space="preserve"> </w:t>
      </w:r>
      <w:proofErr w:type="spellStart"/>
      <w:r w:rsidRPr="002C00D8">
        <w:rPr>
          <w:rFonts w:asciiTheme="minorHAnsi" w:hAnsiTheme="minorHAnsi"/>
          <w:i/>
        </w:rPr>
        <w:t>De</w:t>
      </w:r>
      <w:proofErr w:type="spellEnd"/>
      <w:r w:rsidRPr="002C00D8">
        <w:rPr>
          <w:rFonts w:asciiTheme="minorHAnsi" w:hAnsiTheme="minorHAnsi"/>
          <w:i/>
        </w:rPr>
        <w:t xml:space="preserve"> </w:t>
      </w:r>
      <w:proofErr w:type="spellStart"/>
      <w:r w:rsidRPr="002C00D8">
        <w:rPr>
          <w:rFonts w:asciiTheme="minorHAnsi" w:hAnsiTheme="minorHAnsi"/>
          <w:i/>
        </w:rPr>
        <w:t>minimis</w:t>
      </w:r>
      <w:proofErr w:type="spellEnd"/>
      <w:r w:rsidRPr="002C00D8">
        <w:rPr>
          <w:rFonts w:asciiTheme="minorHAnsi" w:hAnsiTheme="minorHAnsi"/>
        </w:rPr>
        <w:t xml:space="preserve"> uzskaites vei</w:t>
      </w:r>
      <w:r w:rsidR="002C00D8" w:rsidRPr="002C00D8">
        <w:rPr>
          <w:rFonts w:asciiTheme="minorHAnsi" w:hAnsiTheme="minorHAnsi"/>
        </w:rPr>
        <w:t>d</w:t>
      </w:r>
      <w:r w:rsidRPr="002C00D8">
        <w:rPr>
          <w:rFonts w:asciiTheme="minorHAnsi" w:hAnsiTheme="minorHAnsi"/>
        </w:rPr>
        <w:t>lapas paraugi ir atrodami MK noteikumos Nr.740 “</w:t>
      </w:r>
      <w:proofErr w:type="spellStart"/>
      <w:r w:rsidRPr="002C00D8">
        <w:rPr>
          <w:rFonts w:asciiTheme="minorHAnsi" w:hAnsiTheme="minorHAnsi"/>
          <w:i/>
        </w:rPr>
        <w:t>De</w:t>
      </w:r>
      <w:proofErr w:type="spellEnd"/>
      <w:r w:rsidRPr="002C00D8">
        <w:rPr>
          <w:rFonts w:asciiTheme="minorHAnsi" w:hAnsiTheme="minorHAnsi"/>
          <w:i/>
        </w:rPr>
        <w:t xml:space="preserve"> </w:t>
      </w:r>
      <w:proofErr w:type="spellStart"/>
      <w:r w:rsidRPr="002C00D8">
        <w:rPr>
          <w:rFonts w:asciiTheme="minorHAnsi" w:hAnsiTheme="minorHAnsi"/>
          <w:i/>
        </w:rPr>
        <w:t>minimis</w:t>
      </w:r>
      <w:proofErr w:type="spellEnd"/>
      <w:r w:rsidRPr="002C00D8">
        <w:rPr>
          <w:rFonts w:asciiTheme="minorHAnsi" w:hAnsiTheme="minorHAnsi"/>
        </w:rPr>
        <w:t xml:space="preserve"> atbalsta uzskaites un piešķiršanas kārtība un uzskaites veidlapu paraugi”</w:t>
      </w:r>
    </w:p>
    <w:p w:rsidR="00AE7BF2" w:rsidRPr="002C00D8" w:rsidRDefault="00AE7BF2" w:rsidP="00AE7BF2">
      <w:pPr>
        <w:rPr>
          <w:rFonts w:asciiTheme="minorHAnsi" w:hAnsiTheme="minorHAnsi"/>
        </w:rPr>
      </w:pPr>
    </w:p>
    <w:p w:rsidR="00AE7BF2" w:rsidRPr="002C00D8" w:rsidRDefault="00AE7BF2" w:rsidP="00AE7BF2">
      <w:pPr>
        <w:rPr>
          <w:rFonts w:asciiTheme="minorHAnsi" w:hAnsiTheme="minorHAnsi"/>
        </w:rPr>
      </w:pPr>
    </w:p>
    <w:p w:rsidR="000C248C" w:rsidRPr="002C00D8" w:rsidRDefault="000C248C"/>
    <w:sectPr w:rsidR="000C248C" w:rsidRPr="002C00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20"/>
    <w:multiLevelType w:val="hybridMultilevel"/>
    <w:tmpl w:val="D42064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434157"/>
    <w:multiLevelType w:val="hybridMultilevel"/>
    <w:tmpl w:val="B262D1E8"/>
    <w:lvl w:ilvl="0" w:tplc="04260019">
      <w:start w:val="1"/>
      <w:numFmt w:val="lowerLetter"/>
      <w:lvlText w:val="%1."/>
      <w:lvlJc w:val="left"/>
      <w:pPr>
        <w:ind w:left="360" w:hanging="360"/>
      </w:pPr>
    </w:lvl>
    <w:lvl w:ilvl="1" w:tplc="256C0244">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7B3DA8"/>
    <w:multiLevelType w:val="hybridMultilevel"/>
    <w:tmpl w:val="1BF03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9F97C58"/>
    <w:multiLevelType w:val="hybridMultilevel"/>
    <w:tmpl w:val="34F29460"/>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B47693D"/>
    <w:multiLevelType w:val="hybridMultilevel"/>
    <w:tmpl w:val="FF48F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7161AC"/>
    <w:multiLevelType w:val="hybridMultilevel"/>
    <w:tmpl w:val="4D981B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8C"/>
    <w:rsid w:val="000C248C"/>
    <w:rsid w:val="00204391"/>
    <w:rsid w:val="002267D2"/>
    <w:rsid w:val="00290933"/>
    <w:rsid w:val="002C00D8"/>
    <w:rsid w:val="003F67C8"/>
    <w:rsid w:val="00680FD8"/>
    <w:rsid w:val="0073318A"/>
    <w:rsid w:val="0074170E"/>
    <w:rsid w:val="007C1098"/>
    <w:rsid w:val="00A95127"/>
    <w:rsid w:val="00AC1E14"/>
    <w:rsid w:val="00AE7BF2"/>
    <w:rsid w:val="00D272ED"/>
    <w:rsid w:val="00E36554"/>
    <w:rsid w:val="00E744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52DA-8410-4517-8153-830EB624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8C"/>
    <w:pPr>
      <w:ind w:left="720"/>
      <w:contextualSpacing/>
    </w:pPr>
  </w:style>
  <w:style w:type="character" w:styleId="Hyperlink">
    <w:name w:val="Hyperlink"/>
    <w:basedOn w:val="DefaultParagraphFont"/>
    <w:uiPriority w:val="99"/>
    <w:semiHidden/>
    <w:unhideWhenUsed/>
    <w:rsid w:val="00AE7BF2"/>
    <w:rPr>
      <w:color w:val="0563C1"/>
      <w:u w:val="single"/>
    </w:rPr>
  </w:style>
  <w:style w:type="paragraph" w:styleId="NoSpacing">
    <w:name w:val="No Spacing"/>
    <w:uiPriority w:val="1"/>
    <w:qFormat/>
    <w:rsid w:val="00AE7BF2"/>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556">
      <w:bodyDiv w:val="1"/>
      <w:marLeft w:val="0"/>
      <w:marRight w:val="0"/>
      <w:marTop w:val="0"/>
      <w:marBottom w:val="0"/>
      <w:divBdr>
        <w:top w:val="none" w:sz="0" w:space="0" w:color="auto"/>
        <w:left w:val="none" w:sz="0" w:space="0" w:color="auto"/>
        <w:bottom w:val="none" w:sz="0" w:space="0" w:color="auto"/>
        <w:right w:val="none" w:sz="0" w:space="0" w:color="auto"/>
      </w:divBdr>
    </w:div>
    <w:div w:id="182061126">
      <w:bodyDiv w:val="1"/>
      <w:marLeft w:val="0"/>
      <w:marRight w:val="0"/>
      <w:marTop w:val="0"/>
      <w:marBottom w:val="0"/>
      <w:divBdr>
        <w:top w:val="none" w:sz="0" w:space="0" w:color="auto"/>
        <w:left w:val="none" w:sz="0" w:space="0" w:color="auto"/>
        <w:bottom w:val="none" w:sz="0" w:space="0" w:color="auto"/>
        <w:right w:val="none" w:sz="0" w:space="0" w:color="auto"/>
      </w:divBdr>
    </w:div>
    <w:div w:id="982740050">
      <w:bodyDiv w:val="1"/>
      <w:marLeft w:val="0"/>
      <w:marRight w:val="0"/>
      <w:marTop w:val="0"/>
      <w:marBottom w:val="0"/>
      <w:divBdr>
        <w:top w:val="none" w:sz="0" w:space="0" w:color="auto"/>
        <w:left w:val="none" w:sz="0" w:space="0" w:color="auto"/>
        <w:bottom w:val="none" w:sz="0" w:space="0" w:color="auto"/>
        <w:right w:val="none" w:sz="0" w:space="0" w:color="auto"/>
      </w:divBdr>
    </w:div>
    <w:div w:id="1138454015">
      <w:bodyDiv w:val="1"/>
      <w:marLeft w:val="0"/>
      <w:marRight w:val="0"/>
      <w:marTop w:val="0"/>
      <w:marBottom w:val="0"/>
      <w:divBdr>
        <w:top w:val="none" w:sz="0" w:space="0" w:color="auto"/>
        <w:left w:val="none" w:sz="0" w:space="0" w:color="auto"/>
        <w:bottom w:val="none" w:sz="0" w:space="0" w:color="auto"/>
        <w:right w:val="none" w:sz="0" w:space="0" w:color="auto"/>
      </w:divBdr>
    </w:div>
    <w:div w:id="1410078131">
      <w:bodyDiv w:val="1"/>
      <w:marLeft w:val="0"/>
      <w:marRight w:val="0"/>
      <w:marTop w:val="0"/>
      <w:marBottom w:val="0"/>
      <w:divBdr>
        <w:top w:val="none" w:sz="0" w:space="0" w:color="auto"/>
        <w:left w:val="none" w:sz="0" w:space="0" w:color="auto"/>
        <w:bottom w:val="none" w:sz="0" w:space="0" w:color="auto"/>
        <w:right w:val="none" w:sz="0" w:space="0" w:color="auto"/>
      </w:divBdr>
    </w:div>
    <w:div w:id="158210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14R0651&amp;from=LV" TargetMode="External"/><Relationship Id="rId13" Type="http://schemas.openxmlformats.org/officeDocument/2006/relationships/hyperlink" Target="http://eur-lex.europa.eu/legal-content/LV/TXT/HTML/?uri=CELEX:32014R0651&amp;from=LV" TargetMode="External"/><Relationship Id="rId18" Type="http://schemas.openxmlformats.org/officeDocument/2006/relationships/hyperlink" Target="http://likumi.lv/ta/id/277601-darbibas-programmas-izaugsme-un-nodarbinatiba-1-2-2-specifiska-atbalsta-merka-veicinat-inovaciju-ieviesanu-komersantos-1-2-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lex.europa.eu/legal-content/LV/TXT/HTML/?uri=CELEX:32014R0651&amp;from=LV" TargetMode="External"/><Relationship Id="rId7" Type="http://schemas.openxmlformats.org/officeDocument/2006/relationships/hyperlink" Target="http://likumi.lv/ta/id/277601-darbibas-programmas-izaugsme-un-nodarbinatiba-1-2-2-specifiska-atbalsta-merka-veicinat-inovaciju-ieviesanu-komersantos-1-2-2-1-..." TargetMode="External"/><Relationship Id="rId12" Type="http://schemas.openxmlformats.org/officeDocument/2006/relationships/hyperlink" Target="http://eur-lex.europa.eu/legal-content/LV/TXT/HTML/?uri=CELEX:32014R0651&amp;from=LV" TargetMode="External"/><Relationship Id="rId17" Type="http://schemas.openxmlformats.org/officeDocument/2006/relationships/hyperlink" Target="http://likumi.lv/ta/id/277601-darbibas-programmas-izaugsme-un-nodarbinatiba-1-2-2-specifiska-atbalsta-merka-veicinat-inovaciju-ieviesanu-komersantos-1-2-2-1-..." TargetMode="External"/><Relationship Id="rId25" Type="http://schemas.openxmlformats.org/officeDocument/2006/relationships/hyperlink" Target="http://www6.vid.gov.lv/VID_PDB/NPAR" TargetMode="External"/><Relationship Id="rId2" Type="http://schemas.openxmlformats.org/officeDocument/2006/relationships/styles" Target="styles.xml"/><Relationship Id="rId16" Type="http://schemas.openxmlformats.org/officeDocument/2006/relationships/hyperlink" Target="http://eur-lex.europa.eu/legal-content/LV/TXT/HTML/?uri=CELEX:32014R0651&amp;from=LV" TargetMode="External"/><Relationship Id="rId20" Type="http://schemas.openxmlformats.org/officeDocument/2006/relationships/hyperlink" Target="http://likumi.lv/ta/id/277601-darbibas-programmas-izaugsme-un-nodarbinatiba-1-2-2-specifiska-atbalsta-merka-veicinat-inovaciju-ieviesanu-komersantos-1-2-2-1-..." TargetMode="External"/><Relationship Id="rId1" Type="http://schemas.openxmlformats.org/officeDocument/2006/relationships/numbering" Target="numbering.xml"/><Relationship Id="rId6" Type="http://schemas.openxmlformats.org/officeDocument/2006/relationships/hyperlink" Target="http://likumi.lv/ta/id/277601-darbibas-programmas-izaugsme-un-nodarbinatiba-1-2-2-specifiska-atbalsta-merka-veicinat-inovaciju-ieviesanu-komersantos-1-2-2-1-..." TargetMode="External"/><Relationship Id="rId11" Type="http://schemas.openxmlformats.org/officeDocument/2006/relationships/hyperlink" Target="http://likumi.lv/ta/id/277601-darbibas-programmas-izaugsme-un-nodarbinatiba-1-2-2-specifiska-atbalsta-merka-veicinat-inovaciju-ieviesanu-komersantos-1-2-2-1-..." TargetMode="External"/><Relationship Id="rId24" Type="http://schemas.openxmlformats.org/officeDocument/2006/relationships/hyperlink" Target="http://eur-lex.europa.eu/legal-content/LV/TXT/HTML/?uri=CELEX:32014R0651&amp;from=LV" TargetMode="External"/><Relationship Id="rId5" Type="http://schemas.openxmlformats.org/officeDocument/2006/relationships/hyperlink" Target="http://likumi.lv/ta/id/277601-darbibas-programmas-izaugsme-un-nodarbinatiba-1-2-2-specifiska-atbalsta-merka-veicinat-inovaciju-ieviesanu-komersantos-1-2-2-1-..." TargetMode="External"/><Relationship Id="rId15" Type="http://schemas.openxmlformats.org/officeDocument/2006/relationships/hyperlink" Target="http://eur-lex.europa.eu/legal-content/LV/TXT/HTML/?uri=CELEX:32014R0651&amp;from=LV" TargetMode="External"/><Relationship Id="rId23" Type="http://schemas.openxmlformats.org/officeDocument/2006/relationships/hyperlink" Target="http://likumi.lv/ta/id/277601-darbibas-programmas-izaugsme-un-nodarbinatiba-1-2-2-specifiska-atbalsta-merka-veicinat-inovaciju-ieviesanu-komersantos-1-2-2-1-..." TargetMode="External"/><Relationship Id="rId10" Type="http://schemas.openxmlformats.org/officeDocument/2006/relationships/hyperlink" Target="http://eur-lex.europa.eu/legal-content/LV/TXT/HTML/?uri=CELEX:32014R0651&amp;from=LV" TargetMode="External"/><Relationship Id="rId19" Type="http://schemas.openxmlformats.org/officeDocument/2006/relationships/hyperlink" Target="http://eur-lex.europa.eu/legal-content/LV/TXT/HTML/?uri=CELEX:32014R0651&amp;from=LV" TargetMode="External"/><Relationship Id="rId4" Type="http://schemas.openxmlformats.org/officeDocument/2006/relationships/webSettings" Target="webSettings.xml"/><Relationship Id="rId9" Type="http://schemas.openxmlformats.org/officeDocument/2006/relationships/hyperlink" Target="http://likumi.lv/ta/id/277601-darbibas-programmas-izaugsme-un-nodarbinatiba-1-2-2-specifiska-atbalsta-merka-veicinat-inovaciju-ieviesanu-komersantos-1-2-2-1-..." TargetMode="External"/><Relationship Id="rId14" Type="http://schemas.openxmlformats.org/officeDocument/2006/relationships/hyperlink" Target="http://www.fm.gov.lv/lv/sadalas/komercdarbibas_atbalsta_kontrole/informacija_par_saimnieciskas_darbibas_veicejiem__uz_kuriem_attiecas_lidzeklu_atgusanas_lemums/" TargetMode="External"/><Relationship Id="rId22" Type="http://schemas.openxmlformats.org/officeDocument/2006/relationships/hyperlink" Target="http://likumi.lv/ta/id/277601-darbibas-programmas-izaugsme-un-nodarbinatiba-1-2-2-specifiska-atbalsta-merka-veicinat-inovaciju-ieviesanu-komersantos-1-2-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6BF99409</Template>
  <TotalTime>460</TotalTime>
  <Pages>3</Pages>
  <Words>6522</Words>
  <Characters>3718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4</cp:revision>
  <dcterms:created xsi:type="dcterms:W3CDTF">2016-03-11T11:55:00Z</dcterms:created>
  <dcterms:modified xsi:type="dcterms:W3CDTF">2016-03-15T14:52:00Z</dcterms:modified>
</cp:coreProperties>
</file>